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284F1A">
      <w:pPr>
        <w:spacing w:before="206" w:line="480" w:lineRule="auto"/>
        <w:ind w:left="5519" w:right="3580" w:firstLine="283"/>
        <w:rPr>
          <w:b/>
          <w:sz w:val="24"/>
        </w:rPr>
      </w:pPr>
      <w:r>
        <w:rPr>
          <w:b/>
          <w:sz w:val="24"/>
        </w:rPr>
        <w:t>CHAPTER 1 INTRODUCTION</w:t>
      </w:r>
    </w:p>
    <w:p w:rsidR="00F67E59" w:rsidRDefault="00F67E59">
      <w:pPr>
        <w:pStyle w:val="BodyText"/>
        <w:spacing w:before="2"/>
        <w:rPr>
          <w:b/>
          <w:sz w:val="13"/>
        </w:rPr>
      </w:pPr>
    </w:p>
    <w:p w:rsidR="00F67E59" w:rsidRDefault="00F67E59">
      <w:pPr>
        <w:rPr>
          <w:sz w:val="13"/>
        </w:rPr>
        <w:sectPr w:rsidR="00F67E59">
          <w:footerReference w:type="default" r:id="rId7"/>
          <w:type w:val="continuous"/>
          <w:pgSz w:w="12240" w:h="15840"/>
          <w:pgMar w:top="540" w:right="1200" w:bottom="620" w:left="0" w:header="720" w:footer="421" w:gutter="0"/>
          <w:pgNumType w:start="1"/>
          <w:cols w:space="720"/>
        </w:sectPr>
      </w:pPr>
    </w:p>
    <w:p w:rsidR="00F67E59" w:rsidRDefault="00284F1A">
      <w:pPr>
        <w:pStyle w:val="BodyText"/>
        <w:spacing w:before="1"/>
        <w:rPr>
          <w:rFonts w:ascii="Eras Light ITC"/>
          <w:i/>
          <w:sz w:val="36"/>
        </w:rPr>
      </w:pPr>
      <w:r>
        <w:br w:type="column"/>
      </w:r>
    </w:p>
    <w:p w:rsidR="00F67E59" w:rsidRDefault="00284F1A">
      <w:pPr>
        <w:pStyle w:val="Heading1"/>
        <w:numPr>
          <w:ilvl w:val="1"/>
          <w:numId w:val="4"/>
        </w:numPr>
        <w:tabs>
          <w:tab w:val="left" w:pos="4179"/>
        </w:tabs>
        <w:jc w:val="left"/>
      </w:pPr>
      <w:r>
        <w:t>Objective</w:t>
      </w:r>
    </w:p>
    <w:p w:rsidR="00F67E59" w:rsidRDefault="00F67E59">
      <w:pPr>
        <w:pStyle w:val="BodyText"/>
        <w:spacing w:before="5"/>
        <w:rPr>
          <w:b/>
          <w:sz w:val="23"/>
        </w:rPr>
      </w:pPr>
    </w:p>
    <w:p w:rsidR="00F67E59" w:rsidRDefault="00284F1A">
      <w:pPr>
        <w:pStyle w:val="BodyText"/>
        <w:spacing w:before="1" w:line="480" w:lineRule="auto"/>
        <w:ind w:left="172" w:right="237"/>
        <w:jc w:val="both"/>
      </w:pPr>
      <w:r>
        <w:t>The objective of this dissertation is to present applications of space-time processing for the following multiple-access, wireless communication systems: time-division division multiple-Access (TDMA) and code division multiple-access (CDMA)</w:t>
      </w:r>
    </w:p>
    <w:p w:rsidR="00F67E59" w:rsidRDefault="00284F1A">
      <w:pPr>
        <w:pStyle w:val="BodyText"/>
        <w:spacing w:before="10" w:line="480" w:lineRule="auto"/>
        <w:ind w:left="172" w:right="237" w:firstLine="720"/>
        <w:jc w:val="both"/>
      </w:pPr>
      <w:r>
        <w:t>For the TDMA sy</w:t>
      </w:r>
      <w:r>
        <w:t xml:space="preserve">stem, the following spatial processing techniques: </w:t>
      </w:r>
      <w:r>
        <w:rPr>
          <w:i/>
        </w:rPr>
        <w:t xml:space="preserve">optimum combining </w:t>
      </w:r>
      <w:r>
        <w:t xml:space="preserve">and </w:t>
      </w:r>
      <w:r>
        <w:rPr>
          <w:i/>
        </w:rPr>
        <w:t xml:space="preserve">direct matrix inverse </w:t>
      </w:r>
      <w:r>
        <w:t>(DMI) were reviewed; and eigenanalysis-based processing, or the eigencanceler was proposed. An analysis of system performance shows that the eigencanceler is sup</w:t>
      </w:r>
      <w:r>
        <w:t>erior to DMI when small data sets are available.</w:t>
      </w:r>
    </w:p>
    <w:p w:rsidR="00F67E59" w:rsidRDefault="00284F1A">
      <w:pPr>
        <w:pStyle w:val="BodyText"/>
        <w:spacing w:before="10" w:line="480" w:lineRule="auto"/>
        <w:ind w:left="172" w:right="237" w:firstLine="720"/>
        <w:jc w:val="both"/>
      </w:pPr>
      <w:r>
        <w:t xml:space="preserve">For the CDMA system, the following receiver consecrations are formulated and compared: (1) space-time </w:t>
      </w:r>
      <w:r>
        <w:rPr>
          <w:i/>
        </w:rPr>
        <w:t xml:space="preserve">maximum ratio combining </w:t>
      </w:r>
      <w:r>
        <w:t>(SMRC/TMRC) (in effect space- time diversity), (2) cascade optimum space-MRC time (SOPT/TMRC) (optimum spatial processing cascaded with a RAKE receiver) and (3) cascade optimum space-optimum time (SOPT/TOPT).</w:t>
      </w:r>
    </w:p>
    <w:p w:rsidR="00F67E59" w:rsidRDefault="00F67E59">
      <w:pPr>
        <w:pStyle w:val="BodyText"/>
        <w:rPr>
          <w:sz w:val="26"/>
        </w:rPr>
      </w:pPr>
    </w:p>
    <w:p w:rsidR="00F67E59" w:rsidRDefault="00F67E59">
      <w:pPr>
        <w:pStyle w:val="BodyText"/>
        <w:spacing w:before="3"/>
        <w:rPr>
          <w:sz w:val="23"/>
        </w:rPr>
      </w:pPr>
    </w:p>
    <w:p w:rsidR="00F67E59" w:rsidRDefault="00284F1A">
      <w:pPr>
        <w:pStyle w:val="Heading1"/>
        <w:numPr>
          <w:ilvl w:val="1"/>
          <w:numId w:val="4"/>
        </w:numPr>
        <w:tabs>
          <w:tab w:val="left" w:pos="3382"/>
        </w:tabs>
        <w:ind w:left="3381"/>
        <w:jc w:val="left"/>
      </w:pPr>
      <w:r>
        <w:t>Background</w:t>
      </w:r>
      <w:r>
        <w:rPr>
          <w:spacing w:val="-6"/>
        </w:rPr>
        <w:t xml:space="preserve"> </w:t>
      </w:r>
      <w:r>
        <w:t>Information</w:t>
      </w:r>
    </w:p>
    <w:p w:rsidR="00F67E59" w:rsidRDefault="00F67E59">
      <w:pPr>
        <w:pStyle w:val="BodyText"/>
        <w:spacing w:before="6"/>
        <w:rPr>
          <w:b/>
          <w:sz w:val="23"/>
        </w:rPr>
      </w:pPr>
    </w:p>
    <w:p w:rsidR="00F67E59" w:rsidRDefault="00284F1A">
      <w:pPr>
        <w:pStyle w:val="BodyText"/>
        <w:spacing w:line="480" w:lineRule="auto"/>
        <w:ind w:left="172" w:right="236"/>
        <w:jc w:val="both"/>
      </w:pPr>
      <w:r>
        <w:t>Wireless communication offers universal network access by removing users' location and time constraints. As wireless ne</w:t>
      </w:r>
      <w:r>
        <w:t>tworks proliferate and the subscriber community increases, the load on the network increases. The tremendous growth in network bandwidth has driven the convergence of voice,  video, and data to  IP  based    networks.</w:t>
      </w:r>
    </w:p>
    <w:p w:rsidR="00F67E59" w:rsidRDefault="00F67E59">
      <w:pPr>
        <w:spacing w:line="480" w:lineRule="auto"/>
        <w:jc w:val="both"/>
        <w:sectPr w:rsidR="00F67E59">
          <w:type w:val="continuous"/>
          <w:pgSz w:w="12240" w:h="15840"/>
          <w:pgMar w:top="540" w:right="1200" w:bottom="620" w:left="0" w:header="720" w:footer="720" w:gutter="0"/>
          <w:cols w:num="2" w:space="720" w:equalWidth="0">
            <w:col w:w="1738" w:space="250"/>
            <w:col w:w="9052"/>
          </w:cols>
        </w:sectPr>
      </w:pPr>
    </w:p>
    <w:p w:rsidR="00F67E59" w:rsidRDefault="00F67E59">
      <w:pPr>
        <w:spacing w:line="480" w:lineRule="auto"/>
        <w:jc w:val="both"/>
        <w:sectPr w:rsidR="00F67E59">
          <w:type w:val="continuous"/>
          <w:pgSz w:w="12240" w:h="15840"/>
          <w:pgMar w:top="540" w:right="1200" w:bottom="620" w:left="0" w:header="720" w:footer="720" w:gutter="0"/>
          <w:cols w:space="720"/>
        </w:sectPr>
      </w:pPr>
    </w:p>
    <w:p w:rsidR="00F67E59" w:rsidRDefault="00284F1A">
      <w:pPr>
        <w:pStyle w:val="BodyText"/>
        <w:spacing w:before="72" w:line="480" w:lineRule="auto"/>
        <w:ind w:left="439" w:right="116" w:hanging="1"/>
        <w:jc w:val="both"/>
      </w:pPr>
      <w:r>
        <w:lastRenderedPageBreak/>
        <w:t xml:space="preserve">The bandwidth available on wired networks is increasing </w:t>
      </w:r>
      <w:r>
        <w:rPr>
          <w:spacing w:val="2"/>
        </w:rPr>
        <w:t xml:space="preserve">by </w:t>
      </w:r>
      <w:r>
        <w:t xml:space="preserve">a factor of 10 every two years. Wireless bandwidth is doubling every 9 months. Technologies such as Gigabit Ethernet, Wireless IP, and Bluetooth are making bandwidth more abundant and inexpensive. </w:t>
      </w:r>
      <w:r>
        <w:t>Meanwhile, computer processing speed, memory, and disk space doubles every 18 months. Simultaneously, the size of computing platforms continues to decrease. Today’s handheld PCs are often more powerful than desktop computers of the 90s. Once a rare commodi</w:t>
      </w:r>
      <w:r>
        <w:t>ty, computers are now embedded in everything - toys, cars, cell phones, even bread</w:t>
      </w:r>
      <w:r>
        <w:rPr>
          <w:spacing w:val="-8"/>
        </w:rPr>
        <w:t xml:space="preserve"> </w:t>
      </w:r>
      <w:r>
        <w:t>makers.</w:t>
      </w:r>
    </w:p>
    <w:p w:rsidR="00F67E59" w:rsidRDefault="00F67E59">
      <w:pPr>
        <w:spacing w:line="480" w:lineRule="auto"/>
        <w:jc w:val="both"/>
        <w:sectPr w:rsidR="00F67E59">
          <w:pgSz w:w="12240" w:h="15840"/>
          <w:pgMar w:top="1360" w:right="1320" w:bottom="740" w:left="1720" w:header="0" w:footer="421" w:gutter="0"/>
          <w:cols w:space="720"/>
        </w:sectPr>
      </w:pPr>
    </w:p>
    <w:p w:rsidR="00F67E59" w:rsidRDefault="00284F1A">
      <w:pPr>
        <w:spacing w:before="76" w:line="480" w:lineRule="auto"/>
        <w:ind w:left="5332" w:right="1985" w:firstLine="470"/>
        <w:rPr>
          <w:b/>
          <w:sz w:val="24"/>
        </w:rPr>
      </w:pPr>
      <w:r>
        <w:rPr>
          <w:b/>
          <w:sz w:val="24"/>
        </w:rPr>
        <w:lastRenderedPageBreak/>
        <w:t xml:space="preserve">CHAPTER 3 </w:t>
      </w:r>
      <w:r>
        <w:rPr>
          <w:b/>
          <w:w w:val="95"/>
          <w:sz w:val="24"/>
        </w:rPr>
        <w:t>IMPLEMENTATION</w:t>
      </w:r>
    </w:p>
    <w:p w:rsidR="00F67E59" w:rsidRDefault="00F67E59">
      <w:pPr>
        <w:pStyle w:val="BodyText"/>
        <w:rPr>
          <w:b/>
          <w:sz w:val="26"/>
        </w:rPr>
      </w:pPr>
    </w:p>
    <w:p w:rsidR="00F67E59" w:rsidRDefault="00F67E59">
      <w:pPr>
        <w:pStyle w:val="BodyText"/>
        <w:spacing w:before="2"/>
        <w:rPr>
          <w:b/>
          <w:sz w:val="22"/>
        </w:rPr>
      </w:pPr>
    </w:p>
    <w:p w:rsidR="00F67E59" w:rsidRDefault="00284F1A">
      <w:pPr>
        <w:pStyle w:val="BodyText"/>
        <w:spacing w:line="472" w:lineRule="auto"/>
        <w:ind w:left="2159" w:right="498"/>
        <w:jc w:val="both"/>
      </w:pPr>
      <w:r>
        <w:t xml:space="preserve">In Chapter 2, spatial processing techniques mainly for block processing were presented. Block processing for both </w:t>
      </w:r>
      <w:r>
        <w:rPr>
          <w:i/>
        </w:rPr>
        <w:t>optimum co</w:t>
      </w:r>
      <w:r>
        <w:rPr>
          <w:i/>
        </w:rPr>
        <w:t xml:space="preserve">mbining </w:t>
      </w:r>
      <w:r>
        <w:t>and the e</w:t>
      </w:r>
      <w:r>
        <w:rPr>
          <w:i/>
        </w:rPr>
        <w:t xml:space="preserve">igencanceler </w:t>
      </w:r>
      <w:r>
        <w:t xml:space="preserve">require </w:t>
      </w:r>
      <w:r>
        <w:rPr>
          <w:i/>
        </w:rPr>
        <w:t>O</w:t>
      </w:r>
      <w:r>
        <w:t>(</w:t>
      </w:r>
      <w:r>
        <w:rPr>
          <w:i/>
        </w:rPr>
        <w:t>N</w:t>
      </w:r>
      <w:r>
        <w:rPr>
          <w:i/>
          <w:position w:val="11"/>
          <w:sz w:val="16"/>
        </w:rPr>
        <w:t>3</w:t>
      </w:r>
      <w:r>
        <w:t>) flops per data block. Adaptive algorithms provide continuous tracking and have lower computational requirements. The LMS and RLS are two common algorithms used to implement optimum combining.</w:t>
      </w:r>
    </w:p>
    <w:p w:rsidR="00F67E59" w:rsidRDefault="00F67E59">
      <w:pPr>
        <w:pStyle w:val="BodyText"/>
        <w:rPr>
          <w:sz w:val="26"/>
        </w:rPr>
      </w:pPr>
    </w:p>
    <w:p w:rsidR="00F67E59" w:rsidRDefault="00F67E59">
      <w:pPr>
        <w:pStyle w:val="BodyText"/>
        <w:spacing w:before="8"/>
        <w:rPr>
          <w:sz w:val="23"/>
        </w:rPr>
      </w:pPr>
    </w:p>
    <w:p w:rsidR="00F67E59" w:rsidRDefault="00284F1A">
      <w:pPr>
        <w:pStyle w:val="Heading1"/>
        <w:tabs>
          <w:tab w:val="left" w:pos="4639"/>
        </w:tabs>
        <w:spacing w:before="1"/>
        <w:ind w:left="3919"/>
      </w:pPr>
      <w:r>
        <w:t>3.1</w:t>
      </w:r>
      <w:r>
        <w:tab/>
        <w:t>Adaptive Algor</w:t>
      </w:r>
      <w:r>
        <w:t>ithms for the</w:t>
      </w:r>
      <w:r>
        <w:rPr>
          <w:spacing w:val="-13"/>
        </w:rPr>
        <w:t xml:space="preserve"> </w:t>
      </w:r>
      <w:r>
        <w:t>Eigencanceler</w:t>
      </w:r>
    </w:p>
    <w:p w:rsidR="00F67E59" w:rsidRDefault="00F67E59">
      <w:pPr>
        <w:pStyle w:val="BodyText"/>
        <w:spacing w:before="6"/>
        <w:rPr>
          <w:b/>
          <w:sz w:val="23"/>
        </w:rPr>
      </w:pPr>
    </w:p>
    <w:p w:rsidR="00F67E59" w:rsidRDefault="00284F1A">
      <w:pPr>
        <w:spacing w:before="1" w:line="465" w:lineRule="auto"/>
        <w:ind w:left="2159" w:right="498"/>
        <w:jc w:val="both"/>
        <w:rPr>
          <w:sz w:val="24"/>
        </w:rPr>
      </w:pPr>
      <w:r>
        <w:rPr>
          <w:sz w:val="24"/>
        </w:rPr>
        <w:t xml:space="preserve">Traditionally, decomposition of the signal space has been achieved using either </w:t>
      </w:r>
      <w:r>
        <w:rPr>
          <w:i/>
          <w:sz w:val="24"/>
        </w:rPr>
        <w:t xml:space="preserve">eigenvalue decomposition </w:t>
      </w:r>
      <w:r>
        <w:rPr>
          <w:sz w:val="24"/>
        </w:rPr>
        <w:t xml:space="preserve">(EVD) or </w:t>
      </w:r>
      <w:r>
        <w:rPr>
          <w:i/>
          <w:sz w:val="24"/>
        </w:rPr>
        <w:t xml:space="preserve">singular value decomposition </w:t>
      </w:r>
      <w:r>
        <w:rPr>
          <w:sz w:val="24"/>
        </w:rPr>
        <w:t xml:space="preserve">(SVD). The full decompositions,  however,  are  computationally  inefficient,  requiring  </w:t>
      </w:r>
      <w:r>
        <w:rPr>
          <w:i/>
          <w:sz w:val="24"/>
        </w:rPr>
        <w:t>O</w:t>
      </w:r>
      <w:r>
        <w:rPr>
          <w:sz w:val="24"/>
        </w:rPr>
        <w:t>(</w:t>
      </w:r>
      <w:r>
        <w:rPr>
          <w:i/>
          <w:sz w:val="24"/>
        </w:rPr>
        <w:t>N</w:t>
      </w:r>
      <w:r>
        <w:rPr>
          <w:position w:val="11"/>
          <w:sz w:val="16"/>
        </w:rPr>
        <w:t>3</w:t>
      </w:r>
      <w:r>
        <w:rPr>
          <w:sz w:val="24"/>
        </w:rPr>
        <w:t>)  flops  and</w:t>
      </w:r>
    </w:p>
    <w:p w:rsidR="00F67E59" w:rsidRDefault="00F67E59">
      <w:pPr>
        <w:spacing w:line="465" w:lineRule="auto"/>
        <w:jc w:val="both"/>
        <w:rPr>
          <w:sz w:val="24"/>
        </w:rPr>
        <w:sectPr w:rsidR="00F67E59">
          <w:footerReference w:type="default" r:id="rId8"/>
          <w:pgSz w:w="12240" w:h="15840"/>
          <w:pgMar w:top="1360" w:right="940" w:bottom="620" w:left="0" w:header="0" w:footer="429" w:gutter="0"/>
          <w:cols w:space="720"/>
        </w:sectPr>
      </w:pPr>
    </w:p>
    <w:p w:rsidR="00F67E59" w:rsidRDefault="00F67E59">
      <w:pPr>
        <w:pStyle w:val="BodyText"/>
        <w:rPr>
          <w:sz w:val="25"/>
        </w:rPr>
      </w:pPr>
    </w:p>
    <w:p w:rsidR="00F67E59" w:rsidRDefault="00284F1A">
      <w:pPr>
        <w:pStyle w:val="BodyText"/>
        <w:tabs>
          <w:tab w:val="left" w:pos="5701"/>
        </w:tabs>
        <w:spacing w:line="480" w:lineRule="auto"/>
        <w:ind w:left="52" w:right="501"/>
      </w:pPr>
      <w:r>
        <w:br w:type="column"/>
      </w:r>
      <w:r>
        <w:t xml:space="preserve">hence,  they  are  not  suited  for </w:t>
      </w:r>
      <w:r>
        <w:rPr>
          <w:spacing w:val="1"/>
        </w:rPr>
        <w:t xml:space="preserve"> </w:t>
      </w:r>
      <w:r>
        <w:t>real-data</w:t>
      </w:r>
      <w:r>
        <w:rPr>
          <w:spacing w:val="59"/>
        </w:rPr>
        <w:t xml:space="preserve"> </w:t>
      </w:r>
      <w:r>
        <w:t>applications.</w:t>
      </w:r>
      <w:r>
        <w:tab/>
      </w:r>
      <w:r>
        <w:rPr>
          <w:spacing w:val="-3"/>
        </w:rPr>
        <w:t xml:space="preserve">In  </w:t>
      </w:r>
      <w:r>
        <w:t xml:space="preserve">recent  years </w:t>
      </w:r>
      <w:r>
        <w:rPr>
          <w:spacing w:val="7"/>
        </w:rPr>
        <w:t xml:space="preserve"> </w:t>
      </w:r>
      <w:r>
        <w:t>new</w:t>
      </w:r>
      <w:r>
        <w:rPr>
          <w:spacing w:val="58"/>
        </w:rPr>
        <w:t xml:space="preserve"> </w:t>
      </w:r>
      <w:r>
        <w:t>adaptive</w:t>
      </w:r>
      <w:r>
        <w:rPr>
          <w:w w:val="99"/>
        </w:rPr>
        <w:t xml:space="preserve"> </w:t>
      </w:r>
      <w:r>
        <w:t>algorithms have been suggested for subspace tracking (Patel, 1998), (Valdez,</w:t>
      </w:r>
      <w:r>
        <w:rPr>
          <w:spacing w:val="-30"/>
        </w:rPr>
        <w:t xml:space="preserve"> </w:t>
      </w:r>
      <w:r>
        <w:t>1999).</w:t>
      </w:r>
    </w:p>
    <w:p w:rsidR="00F67E59" w:rsidRDefault="00F67E59">
      <w:pPr>
        <w:pStyle w:val="BodyText"/>
        <w:spacing w:before="3"/>
        <w:rPr>
          <w:sz w:val="23"/>
        </w:rPr>
      </w:pPr>
    </w:p>
    <w:p w:rsidR="00F67E59" w:rsidRDefault="00284F1A">
      <w:pPr>
        <w:pStyle w:val="Heading1"/>
        <w:tabs>
          <w:tab w:val="left" w:pos="772"/>
        </w:tabs>
        <w:ind w:left="52"/>
      </w:pPr>
      <w:r>
        <w:t>3.1.1</w:t>
      </w:r>
      <w:r>
        <w:tab/>
        <w:t>Projection</w:t>
      </w:r>
      <w:r>
        <w:rPr>
          <w:spacing w:val="-7"/>
        </w:rPr>
        <w:t xml:space="preserve"> </w:t>
      </w:r>
      <w:r>
        <w:t>Algorithm</w:t>
      </w:r>
    </w:p>
    <w:p w:rsidR="00F67E59" w:rsidRDefault="00F67E59">
      <w:pPr>
        <w:pStyle w:val="BodyText"/>
        <w:spacing w:before="6"/>
        <w:rPr>
          <w:b/>
          <w:sz w:val="23"/>
        </w:rPr>
      </w:pPr>
    </w:p>
    <w:p w:rsidR="00F67E59" w:rsidRDefault="00284F1A">
      <w:pPr>
        <w:pStyle w:val="BodyText"/>
        <w:tabs>
          <w:tab w:val="left" w:pos="5099"/>
        </w:tabs>
        <w:spacing w:line="480" w:lineRule="auto"/>
        <w:ind w:left="52" w:right="495"/>
      </w:pPr>
      <w:r>
        <w:t xml:space="preserve">Let  </w:t>
      </w:r>
      <w:r>
        <w:rPr>
          <w:i/>
        </w:rPr>
        <w:t xml:space="preserve">r  </w:t>
      </w:r>
      <w:r>
        <w:t>be  the  rank  of  the</w:t>
      </w:r>
      <w:r>
        <w:rPr>
          <w:spacing w:val="-7"/>
        </w:rPr>
        <w:t xml:space="preserve"> </w:t>
      </w:r>
      <w:r>
        <w:t>interference</w:t>
      </w:r>
      <w:r>
        <w:rPr>
          <w:spacing w:val="50"/>
        </w:rPr>
        <w:t xml:space="preserve"> </w:t>
      </w:r>
      <w:r>
        <w:t>subspace.</w:t>
      </w:r>
      <w:r>
        <w:tab/>
        <w:t>Then,  the  algorithm  consists</w:t>
      </w:r>
      <w:r>
        <w:rPr>
          <w:spacing w:val="21"/>
        </w:rPr>
        <w:t xml:space="preserve"> </w:t>
      </w:r>
      <w:r>
        <w:t>of</w:t>
      </w:r>
      <w:r>
        <w:rPr>
          <w:spacing w:val="49"/>
        </w:rPr>
        <w:t xml:space="preserve"> </w:t>
      </w:r>
      <w:r>
        <w:t>the</w:t>
      </w:r>
      <w:r>
        <w:rPr>
          <w:w w:val="99"/>
        </w:rPr>
        <w:t xml:space="preserve"> </w:t>
      </w:r>
      <w:r>
        <w:t>following</w:t>
      </w:r>
      <w:r>
        <w:rPr>
          <w:spacing w:val="-9"/>
        </w:rPr>
        <w:t xml:space="preserve"> </w:t>
      </w:r>
      <w:r>
        <w:t>steps:</w:t>
      </w:r>
    </w:p>
    <w:p w:rsidR="00F67E59" w:rsidRDefault="00284F1A">
      <w:pPr>
        <w:pStyle w:val="ListParagraph"/>
        <w:numPr>
          <w:ilvl w:val="0"/>
          <w:numId w:val="3"/>
        </w:numPr>
        <w:tabs>
          <w:tab w:val="left" w:pos="773"/>
        </w:tabs>
        <w:spacing w:before="108"/>
        <w:ind w:right="498"/>
        <w:rPr>
          <w:sz w:val="24"/>
        </w:rPr>
      </w:pPr>
      <w:r>
        <w:rPr>
          <w:sz w:val="24"/>
        </w:rPr>
        <w:t xml:space="preserve">Initialize the interference subspace and initialize X. L is a </w:t>
      </w:r>
      <w:r>
        <w:rPr>
          <w:i/>
          <w:sz w:val="24"/>
        </w:rPr>
        <w:t xml:space="preserve">N </w:t>
      </w:r>
      <w:r>
        <w:rPr>
          <w:spacing w:val="2"/>
          <w:sz w:val="24"/>
        </w:rPr>
        <w:t xml:space="preserve">by </w:t>
      </w:r>
      <w:r>
        <w:rPr>
          <w:i/>
          <w:sz w:val="24"/>
        </w:rPr>
        <w:t xml:space="preserve">r </w:t>
      </w:r>
      <w:r>
        <w:rPr>
          <w:sz w:val="24"/>
        </w:rPr>
        <w:t>matrix defined  as whatever used to be written</w:t>
      </w:r>
      <w:r>
        <w:rPr>
          <w:spacing w:val="-13"/>
          <w:sz w:val="24"/>
        </w:rPr>
        <w:t xml:space="preserve"> </w:t>
      </w:r>
      <w:r>
        <w:rPr>
          <w:sz w:val="24"/>
        </w:rPr>
        <w:t>here.</w:t>
      </w:r>
    </w:p>
    <w:p w:rsidR="00F67E59" w:rsidRDefault="00284F1A">
      <w:pPr>
        <w:pStyle w:val="ListParagraph"/>
        <w:numPr>
          <w:ilvl w:val="0"/>
          <w:numId w:val="3"/>
        </w:numPr>
        <w:tabs>
          <w:tab w:val="left" w:pos="773"/>
        </w:tabs>
        <w:spacing w:before="206" w:line="274" w:lineRule="exact"/>
        <w:ind w:right="498"/>
        <w:rPr>
          <w:sz w:val="24"/>
        </w:rPr>
      </w:pPr>
      <w:r>
        <w:rPr>
          <w:sz w:val="24"/>
        </w:rPr>
        <w:t>This list is continued here to show that the space between two list points is double spaced.</w:t>
      </w:r>
    </w:p>
    <w:p w:rsidR="00F67E59" w:rsidRDefault="00284F1A">
      <w:pPr>
        <w:pStyle w:val="ListParagraph"/>
        <w:numPr>
          <w:ilvl w:val="0"/>
          <w:numId w:val="3"/>
        </w:numPr>
        <w:tabs>
          <w:tab w:val="left" w:pos="773"/>
        </w:tabs>
        <w:spacing w:before="198"/>
        <w:rPr>
          <w:sz w:val="24"/>
        </w:rPr>
      </w:pPr>
      <w:r>
        <w:rPr>
          <w:sz w:val="24"/>
        </w:rPr>
        <w:t>This is the last point of this</w:t>
      </w:r>
      <w:r>
        <w:rPr>
          <w:spacing w:val="-11"/>
          <w:sz w:val="24"/>
        </w:rPr>
        <w:t xml:space="preserve"> </w:t>
      </w:r>
      <w:r>
        <w:rPr>
          <w:sz w:val="24"/>
        </w:rPr>
        <w:t>list.</w:t>
      </w:r>
    </w:p>
    <w:p w:rsidR="00F67E59" w:rsidRDefault="00F67E59">
      <w:pPr>
        <w:rPr>
          <w:sz w:val="24"/>
        </w:rPr>
        <w:sectPr w:rsidR="00F67E59">
          <w:type w:val="continuous"/>
          <w:pgSz w:w="12240" w:h="15840"/>
          <w:pgMar w:top="540" w:right="940" w:bottom="620" w:left="0" w:header="720" w:footer="720" w:gutter="0"/>
          <w:cols w:num="2" w:space="720" w:equalWidth="0">
            <w:col w:w="1776" w:space="331"/>
            <w:col w:w="9193"/>
          </w:cols>
        </w:sect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spacing w:before="2"/>
        <w:rPr>
          <w:sz w:val="20"/>
        </w:rPr>
      </w:pPr>
    </w:p>
    <w:p w:rsidR="00F67E59" w:rsidRDefault="00284F1A">
      <w:pPr>
        <w:pStyle w:val="BodyText"/>
        <w:spacing w:before="90"/>
        <w:ind w:left="2159"/>
      </w:pPr>
      <w:r>
        <w:rPr>
          <w:b/>
        </w:rPr>
        <w:t xml:space="preserve">Table 5.6  </w:t>
      </w:r>
      <w:r>
        <w:t>Diffusion Coefficients and Molecular Diameters of Non-electrolytes</w:t>
      </w:r>
    </w:p>
    <w:p w:rsidR="00F67E59" w:rsidRDefault="00F67E59">
      <w:pPr>
        <w:pStyle w:val="BodyText"/>
        <w:spacing w:before="7" w:after="1"/>
      </w:pPr>
    </w:p>
    <w:p w:rsidR="00F67E59" w:rsidRDefault="00284F1A">
      <w:pPr>
        <w:pStyle w:val="BodyText"/>
        <w:spacing w:line="20" w:lineRule="exact"/>
        <w:ind w:left="2155"/>
        <w:rPr>
          <w:sz w:val="2"/>
        </w:rPr>
      </w:pPr>
      <w:r>
        <w:rPr>
          <w:sz w:val="2"/>
        </w:rPr>
      </w:r>
      <w:r>
        <w:rPr>
          <w:sz w:val="2"/>
        </w:rPr>
        <w:pict>
          <v:group id="_x0000_s1053" style="width:410.1pt;height:.5pt;mso-position-horizontal-relative:char;mso-position-vertical-relative:line" coordsize="8202,10">
            <v:line id="_x0000_s1058" style="position:absolute" from="5,5" to="2736,5" strokeweight=".48pt"/>
            <v:line id="_x0000_s1057" style="position:absolute" from="2736,5" to="2746,5" strokeweight=".48pt"/>
            <v:line id="_x0000_s1056" style="position:absolute" from="2746,5" to="5465,5" strokeweight=".48pt"/>
            <v:line id="_x0000_s1055" style="position:absolute" from="5465,5" to="5475,5" strokeweight=".48pt"/>
            <v:line id="_x0000_s1054" style="position:absolute" from="5475,5" to="8196,5" strokeweight=".48pt"/>
            <w10:wrap type="none"/>
            <w10:anchorlock/>
          </v:group>
        </w:pict>
      </w:r>
    </w:p>
    <w:p w:rsidR="00F67E59" w:rsidRDefault="00F67E59">
      <w:pPr>
        <w:spacing w:line="20" w:lineRule="exact"/>
        <w:rPr>
          <w:sz w:val="2"/>
        </w:rPr>
        <w:sectPr w:rsidR="00F67E59">
          <w:footerReference w:type="default" r:id="rId9"/>
          <w:pgSz w:w="12240" w:h="15840"/>
          <w:pgMar w:top="420" w:right="0" w:bottom="700" w:left="0" w:header="0" w:footer="511" w:gutter="0"/>
          <w:pgNumType w:start="41"/>
          <w:cols w:space="720"/>
        </w:sectPr>
      </w:pPr>
    </w:p>
    <w:p w:rsidR="00F67E59" w:rsidRDefault="00284F1A">
      <w:pPr>
        <w:pStyle w:val="Heading1"/>
        <w:spacing w:line="260" w:lineRule="exact"/>
        <w:ind w:left="2594"/>
        <w:jc w:val="center"/>
      </w:pPr>
      <w:r>
        <w:t>Molecular</w:t>
      </w:r>
      <w:r>
        <w:rPr>
          <w:spacing w:val="-7"/>
        </w:rPr>
        <w:t xml:space="preserve"> </w:t>
      </w:r>
      <w:r>
        <w:t>Weight</w:t>
      </w:r>
    </w:p>
    <w:p w:rsidR="00F67E59" w:rsidRDefault="00284F1A">
      <w:pPr>
        <w:pStyle w:val="BodyText"/>
        <w:spacing w:line="274" w:lineRule="exact"/>
        <w:ind w:right="468"/>
        <w:jc w:val="right"/>
      </w:pPr>
      <w:r>
        <w:t>g/(g-mol)</w:t>
      </w:r>
    </w:p>
    <w:p w:rsidR="00F67E59" w:rsidRDefault="00284F1A">
      <w:pPr>
        <w:pStyle w:val="Heading1"/>
        <w:spacing w:line="242" w:lineRule="exact"/>
        <w:ind w:left="636"/>
        <w:jc w:val="center"/>
      </w:pPr>
      <w:r>
        <w:rPr>
          <w:b w:val="0"/>
        </w:rPr>
        <w:br w:type="column"/>
      </w:r>
      <w:r>
        <w:t>Diffusivity in Solution</w:t>
      </w:r>
    </w:p>
    <w:p w:rsidR="00F67E59" w:rsidRDefault="00284F1A">
      <w:pPr>
        <w:spacing w:line="291" w:lineRule="exact"/>
        <w:ind w:left="636"/>
        <w:jc w:val="center"/>
        <w:rPr>
          <w:sz w:val="24"/>
        </w:rPr>
      </w:pPr>
      <w:r>
        <w:rPr>
          <w:sz w:val="24"/>
        </w:rPr>
        <w:t>10</w:t>
      </w:r>
      <w:r>
        <w:rPr>
          <w:position w:val="11"/>
          <w:sz w:val="16"/>
        </w:rPr>
        <w:t xml:space="preserve">-5  </w:t>
      </w:r>
      <w:r>
        <w:rPr>
          <w:sz w:val="24"/>
        </w:rPr>
        <w:t>*(cm</w:t>
      </w:r>
      <w:r>
        <w:rPr>
          <w:position w:val="11"/>
          <w:sz w:val="16"/>
        </w:rPr>
        <w:t xml:space="preserve">2 </w:t>
      </w:r>
      <w:r>
        <w:rPr>
          <w:sz w:val="24"/>
        </w:rPr>
        <w:t>/s)</w:t>
      </w:r>
    </w:p>
    <w:p w:rsidR="00F67E59" w:rsidRDefault="00284F1A">
      <w:pPr>
        <w:pStyle w:val="Heading1"/>
        <w:spacing w:line="242" w:lineRule="exact"/>
        <w:ind w:left="503" w:right="2199"/>
        <w:jc w:val="center"/>
      </w:pPr>
      <w:r>
        <w:rPr>
          <w:b w:val="0"/>
        </w:rPr>
        <w:br w:type="column"/>
      </w:r>
      <w:r>
        <w:t>Molecular Diameter</w:t>
      </w:r>
    </w:p>
    <w:p w:rsidR="00F67E59" w:rsidRDefault="00284F1A">
      <w:pPr>
        <w:spacing w:line="291" w:lineRule="exact"/>
        <w:ind w:left="503" w:right="2194"/>
        <w:jc w:val="center"/>
        <w:rPr>
          <w:sz w:val="24"/>
        </w:rPr>
      </w:pPr>
      <w:r>
        <w:rPr>
          <w:sz w:val="24"/>
        </w:rPr>
        <w:t>10</w:t>
      </w:r>
      <w:r>
        <w:rPr>
          <w:position w:val="11"/>
          <w:sz w:val="16"/>
        </w:rPr>
        <w:t xml:space="preserve">-8 </w:t>
      </w:r>
      <w:r>
        <w:rPr>
          <w:sz w:val="24"/>
        </w:rPr>
        <w:t>* cm</w:t>
      </w:r>
    </w:p>
    <w:p w:rsidR="00F67E59" w:rsidRDefault="00F67E59">
      <w:pPr>
        <w:spacing w:line="291" w:lineRule="exact"/>
        <w:jc w:val="center"/>
        <w:rPr>
          <w:sz w:val="24"/>
        </w:rPr>
        <w:sectPr w:rsidR="00F67E59">
          <w:type w:val="continuous"/>
          <w:pgSz w:w="12240" w:h="15840"/>
          <w:pgMar w:top="540" w:right="0" w:bottom="620" w:left="0" w:header="720" w:footer="720" w:gutter="0"/>
          <w:cols w:num="3" w:space="720" w:equalWidth="0">
            <w:col w:w="4453" w:space="40"/>
            <w:col w:w="2892" w:space="40"/>
            <w:col w:w="4815"/>
          </w:cols>
        </w:sectPr>
      </w:pPr>
    </w:p>
    <w:p w:rsidR="00F67E59" w:rsidRDefault="00F67E59">
      <w:pPr>
        <w:pStyle w:val="BodyText"/>
        <w:spacing w:before="4"/>
        <w:rPr>
          <w:sz w:val="11"/>
        </w:rPr>
      </w:pPr>
    </w:p>
    <w:tbl>
      <w:tblPr>
        <w:tblW w:w="0" w:type="auto"/>
        <w:tblInd w:w="21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68"/>
        <w:gridCol w:w="2632"/>
        <w:gridCol w:w="2791"/>
      </w:tblGrid>
      <w:tr w:rsidR="00F67E59">
        <w:trPr>
          <w:trHeight w:hRule="exact" w:val="350"/>
        </w:trPr>
        <w:tc>
          <w:tcPr>
            <w:tcW w:w="2768" w:type="dxa"/>
            <w:tcBorders>
              <w:top w:val="single" w:sz="4" w:space="0" w:color="000000"/>
            </w:tcBorders>
          </w:tcPr>
          <w:p w:rsidR="00F67E59" w:rsidRDefault="00284F1A">
            <w:pPr>
              <w:pStyle w:val="TableParagraph"/>
              <w:spacing w:before="0" w:line="273" w:lineRule="exact"/>
              <w:rPr>
                <w:sz w:val="24"/>
              </w:rPr>
            </w:pPr>
            <w:r>
              <w:rPr>
                <w:w w:val="95"/>
                <w:sz w:val="24"/>
              </w:rPr>
              <w:t>10</w:t>
            </w:r>
          </w:p>
        </w:tc>
        <w:tc>
          <w:tcPr>
            <w:tcW w:w="2632" w:type="dxa"/>
            <w:tcBorders>
              <w:top w:val="single" w:sz="4" w:space="0" w:color="000000"/>
            </w:tcBorders>
          </w:tcPr>
          <w:p w:rsidR="00F67E59" w:rsidRDefault="00284F1A">
            <w:pPr>
              <w:pStyle w:val="TableParagraph"/>
              <w:spacing w:before="0" w:line="273" w:lineRule="exact"/>
              <w:ind w:right="1078"/>
              <w:rPr>
                <w:sz w:val="24"/>
              </w:rPr>
            </w:pPr>
            <w:r>
              <w:rPr>
                <w:w w:val="95"/>
                <w:sz w:val="24"/>
              </w:rPr>
              <w:t>2.20</w:t>
            </w:r>
          </w:p>
        </w:tc>
        <w:tc>
          <w:tcPr>
            <w:tcW w:w="2791" w:type="dxa"/>
            <w:tcBorders>
              <w:top w:val="single" w:sz="4" w:space="0" w:color="000000"/>
            </w:tcBorders>
          </w:tcPr>
          <w:p w:rsidR="00F67E59" w:rsidRDefault="00284F1A">
            <w:pPr>
              <w:pStyle w:val="TableParagraph"/>
              <w:spacing w:before="0" w:line="273" w:lineRule="exact"/>
              <w:ind w:right="1169"/>
              <w:rPr>
                <w:sz w:val="24"/>
              </w:rPr>
            </w:pPr>
            <w:r>
              <w:rPr>
                <w:sz w:val="24"/>
              </w:rPr>
              <w:t>2.9</w:t>
            </w:r>
          </w:p>
        </w:tc>
      </w:tr>
      <w:tr w:rsidR="00F67E59">
        <w:trPr>
          <w:trHeight w:hRule="exact" w:val="414"/>
        </w:trPr>
        <w:tc>
          <w:tcPr>
            <w:tcW w:w="2768" w:type="dxa"/>
          </w:tcPr>
          <w:p w:rsidR="00F67E59" w:rsidRDefault="00284F1A">
            <w:pPr>
              <w:pStyle w:val="TableParagraph"/>
              <w:rPr>
                <w:sz w:val="24"/>
              </w:rPr>
            </w:pPr>
            <w:r>
              <w:rPr>
                <w:w w:val="95"/>
                <w:sz w:val="24"/>
              </w:rPr>
              <w:t>100</w:t>
            </w:r>
          </w:p>
        </w:tc>
        <w:tc>
          <w:tcPr>
            <w:tcW w:w="2632" w:type="dxa"/>
          </w:tcPr>
          <w:p w:rsidR="00F67E59" w:rsidRDefault="00284F1A">
            <w:pPr>
              <w:pStyle w:val="TableParagraph"/>
              <w:ind w:right="1078"/>
              <w:rPr>
                <w:sz w:val="24"/>
              </w:rPr>
            </w:pPr>
            <w:r>
              <w:rPr>
                <w:w w:val="95"/>
                <w:sz w:val="24"/>
              </w:rPr>
              <w:t>0.70</w:t>
            </w:r>
          </w:p>
        </w:tc>
        <w:tc>
          <w:tcPr>
            <w:tcW w:w="2791" w:type="dxa"/>
          </w:tcPr>
          <w:p w:rsidR="00F67E59" w:rsidRDefault="00284F1A">
            <w:pPr>
              <w:pStyle w:val="TableParagraph"/>
              <w:ind w:right="1169"/>
              <w:rPr>
                <w:sz w:val="24"/>
              </w:rPr>
            </w:pPr>
            <w:r>
              <w:rPr>
                <w:sz w:val="24"/>
              </w:rPr>
              <w:t>6.2</w:t>
            </w:r>
          </w:p>
        </w:tc>
      </w:tr>
      <w:tr w:rsidR="00F67E59">
        <w:trPr>
          <w:trHeight w:hRule="exact" w:val="414"/>
        </w:trPr>
        <w:tc>
          <w:tcPr>
            <w:tcW w:w="2768" w:type="dxa"/>
          </w:tcPr>
          <w:p w:rsidR="00F67E59" w:rsidRDefault="00284F1A">
            <w:pPr>
              <w:pStyle w:val="TableParagraph"/>
              <w:spacing w:before="65"/>
              <w:rPr>
                <w:sz w:val="24"/>
              </w:rPr>
            </w:pPr>
            <w:r>
              <w:rPr>
                <w:w w:val="95"/>
                <w:sz w:val="24"/>
              </w:rPr>
              <w:t>1,000</w:t>
            </w:r>
          </w:p>
        </w:tc>
        <w:tc>
          <w:tcPr>
            <w:tcW w:w="2632" w:type="dxa"/>
          </w:tcPr>
          <w:p w:rsidR="00F67E59" w:rsidRDefault="00284F1A">
            <w:pPr>
              <w:pStyle w:val="TableParagraph"/>
              <w:spacing w:before="65"/>
              <w:ind w:right="1078"/>
              <w:rPr>
                <w:sz w:val="24"/>
              </w:rPr>
            </w:pPr>
            <w:r>
              <w:rPr>
                <w:w w:val="95"/>
                <w:sz w:val="24"/>
              </w:rPr>
              <w:t>0.25</w:t>
            </w:r>
          </w:p>
        </w:tc>
        <w:tc>
          <w:tcPr>
            <w:tcW w:w="2791" w:type="dxa"/>
          </w:tcPr>
          <w:p w:rsidR="00F67E59" w:rsidRDefault="00284F1A">
            <w:pPr>
              <w:pStyle w:val="TableParagraph"/>
              <w:spacing w:before="65"/>
              <w:ind w:right="1169"/>
              <w:rPr>
                <w:sz w:val="24"/>
              </w:rPr>
            </w:pPr>
            <w:r>
              <w:rPr>
                <w:w w:val="95"/>
                <w:sz w:val="24"/>
              </w:rPr>
              <w:t>13.2</w:t>
            </w:r>
          </w:p>
        </w:tc>
      </w:tr>
      <w:tr w:rsidR="00F67E59">
        <w:trPr>
          <w:trHeight w:hRule="exact" w:val="414"/>
        </w:trPr>
        <w:tc>
          <w:tcPr>
            <w:tcW w:w="2768" w:type="dxa"/>
          </w:tcPr>
          <w:p w:rsidR="00F67E59" w:rsidRDefault="00284F1A">
            <w:pPr>
              <w:pStyle w:val="TableParagraph"/>
              <w:rPr>
                <w:sz w:val="24"/>
              </w:rPr>
            </w:pPr>
            <w:r>
              <w:rPr>
                <w:w w:val="95"/>
                <w:sz w:val="24"/>
              </w:rPr>
              <w:t>10,000</w:t>
            </w:r>
          </w:p>
        </w:tc>
        <w:tc>
          <w:tcPr>
            <w:tcW w:w="2632" w:type="dxa"/>
          </w:tcPr>
          <w:p w:rsidR="00F67E59" w:rsidRDefault="00284F1A">
            <w:pPr>
              <w:pStyle w:val="TableParagraph"/>
              <w:ind w:right="1078"/>
              <w:rPr>
                <w:sz w:val="24"/>
              </w:rPr>
            </w:pPr>
            <w:r>
              <w:rPr>
                <w:w w:val="95"/>
                <w:sz w:val="24"/>
              </w:rPr>
              <w:t>0.11</w:t>
            </w:r>
          </w:p>
        </w:tc>
        <w:tc>
          <w:tcPr>
            <w:tcW w:w="2791" w:type="dxa"/>
          </w:tcPr>
          <w:p w:rsidR="00F67E59" w:rsidRDefault="00284F1A">
            <w:pPr>
              <w:pStyle w:val="TableParagraph"/>
              <w:ind w:right="1169"/>
              <w:rPr>
                <w:sz w:val="24"/>
              </w:rPr>
            </w:pPr>
            <w:r>
              <w:rPr>
                <w:w w:val="95"/>
                <w:sz w:val="24"/>
              </w:rPr>
              <w:t>28.5</w:t>
            </w:r>
          </w:p>
        </w:tc>
      </w:tr>
      <w:tr w:rsidR="00F67E59">
        <w:trPr>
          <w:trHeight w:hRule="exact" w:val="414"/>
        </w:trPr>
        <w:tc>
          <w:tcPr>
            <w:tcW w:w="2768" w:type="dxa"/>
          </w:tcPr>
          <w:p w:rsidR="00F67E59" w:rsidRDefault="00284F1A">
            <w:pPr>
              <w:pStyle w:val="TableParagraph"/>
              <w:spacing w:before="65"/>
              <w:rPr>
                <w:sz w:val="24"/>
              </w:rPr>
            </w:pPr>
            <w:r>
              <w:rPr>
                <w:w w:val="95"/>
                <w:sz w:val="24"/>
              </w:rPr>
              <w:t>100,000</w:t>
            </w:r>
          </w:p>
        </w:tc>
        <w:tc>
          <w:tcPr>
            <w:tcW w:w="2632" w:type="dxa"/>
          </w:tcPr>
          <w:p w:rsidR="00F67E59" w:rsidRDefault="00284F1A">
            <w:pPr>
              <w:pStyle w:val="TableParagraph"/>
              <w:spacing w:before="65"/>
              <w:ind w:right="1078"/>
              <w:rPr>
                <w:sz w:val="24"/>
              </w:rPr>
            </w:pPr>
            <w:r>
              <w:rPr>
                <w:w w:val="95"/>
                <w:sz w:val="24"/>
              </w:rPr>
              <w:t>0.05</w:t>
            </w:r>
          </w:p>
        </w:tc>
        <w:tc>
          <w:tcPr>
            <w:tcW w:w="2791" w:type="dxa"/>
          </w:tcPr>
          <w:p w:rsidR="00F67E59" w:rsidRDefault="00284F1A">
            <w:pPr>
              <w:pStyle w:val="TableParagraph"/>
              <w:spacing w:before="65"/>
              <w:ind w:right="1169"/>
              <w:rPr>
                <w:sz w:val="24"/>
              </w:rPr>
            </w:pPr>
            <w:r>
              <w:rPr>
                <w:w w:val="95"/>
                <w:sz w:val="24"/>
              </w:rPr>
              <w:t>62.0</w:t>
            </w:r>
          </w:p>
        </w:tc>
      </w:tr>
      <w:tr w:rsidR="00F67E59">
        <w:trPr>
          <w:trHeight w:hRule="exact" w:val="488"/>
        </w:trPr>
        <w:tc>
          <w:tcPr>
            <w:tcW w:w="2768" w:type="dxa"/>
            <w:tcBorders>
              <w:bottom w:val="single" w:sz="4" w:space="0" w:color="000000"/>
            </w:tcBorders>
          </w:tcPr>
          <w:p w:rsidR="00F67E59" w:rsidRDefault="00284F1A">
            <w:pPr>
              <w:pStyle w:val="TableParagraph"/>
              <w:rPr>
                <w:sz w:val="24"/>
              </w:rPr>
            </w:pPr>
            <w:r>
              <w:rPr>
                <w:w w:val="95"/>
                <w:sz w:val="24"/>
              </w:rPr>
              <w:t>1,000,000</w:t>
            </w:r>
          </w:p>
        </w:tc>
        <w:tc>
          <w:tcPr>
            <w:tcW w:w="2632" w:type="dxa"/>
            <w:tcBorders>
              <w:bottom w:val="single" w:sz="4" w:space="0" w:color="000000"/>
            </w:tcBorders>
          </w:tcPr>
          <w:p w:rsidR="00F67E59" w:rsidRDefault="00284F1A">
            <w:pPr>
              <w:pStyle w:val="TableParagraph"/>
              <w:ind w:right="1078"/>
              <w:rPr>
                <w:sz w:val="24"/>
              </w:rPr>
            </w:pPr>
            <w:r>
              <w:rPr>
                <w:w w:val="95"/>
                <w:sz w:val="24"/>
              </w:rPr>
              <w:t>0.025</w:t>
            </w:r>
          </w:p>
        </w:tc>
        <w:tc>
          <w:tcPr>
            <w:tcW w:w="2791" w:type="dxa"/>
            <w:tcBorders>
              <w:bottom w:val="single" w:sz="4" w:space="0" w:color="000000"/>
            </w:tcBorders>
          </w:tcPr>
          <w:p w:rsidR="00F67E59" w:rsidRDefault="00284F1A">
            <w:pPr>
              <w:pStyle w:val="TableParagraph"/>
              <w:ind w:right="1169"/>
              <w:rPr>
                <w:sz w:val="24"/>
              </w:rPr>
            </w:pPr>
            <w:r>
              <w:rPr>
                <w:w w:val="95"/>
                <w:sz w:val="24"/>
              </w:rPr>
              <w:t>132.0</w:t>
            </w:r>
          </w:p>
        </w:tc>
      </w:tr>
    </w:tbl>
    <w:p w:rsidR="00F67E59" w:rsidRDefault="00284F1A">
      <w:pPr>
        <w:spacing w:before="11" w:line="213" w:lineRule="auto"/>
        <w:ind w:left="2160" w:right="2028"/>
        <w:rPr>
          <w:sz w:val="20"/>
        </w:rPr>
      </w:pPr>
      <w:r>
        <w:rPr>
          <w:sz w:val="20"/>
        </w:rPr>
        <w:t xml:space="preserve">Source: W.S. Winston Ho and Norman N. Li , “Membrane Processes,” </w:t>
      </w:r>
      <w:r>
        <w:rPr>
          <w:sz w:val="20"/>
          <w:u w:val="single"/>
        </w:rPr>
        <w:t>Perry’s Chemical Engineers’ Handbook</w:t>
      </w:r>
      <w:r>
        <w:rPr>
          <w:sz w:val="20"/>
        </w:rPr>
        <w:t>, ed. Robert H. Perry and Don W. Green, 6</w:t>
      </w:r>
      <w:r>
        <w:rPr>
          <w:position w:val="9"/>
          <w:sz w:val="13"/>
        </w:rPr>
        <w:t xml:space="preserve">th </w:t>
      </w:r>
      <w:r>
        <w:rPr>
          <w:sz w:val="20"/>
        </w:rPr>
        <w:t>ed. (New York: McGraw-Hill, 1984)17-20.</w:t>
      </w:r>
    </w:p>
    <w:p w:rsidR="00F67E59" w:rsidRDefault="00F67E59">
      <w:pPr>
        <w:pStyle w:val="BodyText"/>
      </w:pPr>
    </w:p>
    <w:p w:rsidR="00F67E59" w:rsidRDefault="00F67E59">
      <w:pPr>
        <w:pStyle w:val="BodyText"/>
        <w:spacing w:before="3"/>
      </w:pPr>
    </w:p>
    <w:p w:rsidR="00F67E59" w:rsidRDefault="00284F1A">
      <w:pPr>
        <w:pStyle w:val="BodyText"/>
        <w:spacing w:line="480" w:lineRule="auto"/>
        <w:ind w:left="2159" w:right="1439" w:firstLine="720"/>
        <w:jc w:val="both"/>
      </w:pPr>
      <w:r>
        <w:t>A qualitative picture of the longitudinal electric field at the axis of the electron avalanche is given in Figure 16.7. The x=0 plane corresponds to the front of  the ava</w:t>
      </w:r>
      <w:r>
        <w:t>lanche and is where the field attains the maximum average value it can have in the</w:t>
      </w:r>
    </w:p>
    <w:p w:rsidR="00F67E59" w:rsidRDefault="00F67E59">
      <w:pPr>
        <w:spacing w:line="480" w:lineRule="auto"/>
        <w:jc w:val="both"/>
        <w:sectPr w:rsidR="00F67E59">
          <w:type w:val="continuous"/>
          <w:pgSz w:w="12240" w:h="15840"/>
          <w:pgMar w:top="540" w:right="0" w:bottom="620" w:left="0" w:header="720" w:footer="720" w:gutter="0"/>
          <w:cols w:space="720"/>
        </w:sectPr>
      </w:pPr>
    </w:p>
    <w:p w:rsidR="00F67E59" w:rsidRDefault="00F67E59">
      <w:pPr>
        <w:pStyle w:val="BodyText"/>
        <w:rPr>
          <w:sz w:val="22"/>
        </w:rPr>
      </w:pPr>
    </w:p>
    <w:p w:rsidR="00F67E59" w:rsidRDefault="00F67E59">
      <w:pPr>
        <w:pStyle w:val="BodyText"/>
        <w:rPr>
          <w:sz w:val="22"/>
        </w:rPr>
      </w:pPr>
    </w:p>
    <w:p w:rsidR="00F67E59" w:rsidRDefault="00284F1A">
      <w:pPr>
        <w:spacing w:before="171"/>
        <w:ind w:left="172"/>
        <w:rPr>
          <w:rFonts w:ascii="Eras Light ITC"/>
          <w:i/>
          <w:sz w:val="20"/>
        </w:rPr>
      </w:pPr>
      <w:r>
        <w:rPr>
          <w:rFonts w:ascii="Eras Light ITC"/>
          <w:i/>
          <w:sz w:val="20"/>
        </w:rPr>
        <w:t>.</w:t>
      </w:r>
    </w:p>
    <w:p w:rsidR="00F67E59" w:rsidRDefault="00284F1A">
      <w:pPr>
        <w:pStyle w:val="BodyText"/>
        <w:spacing w:before="9" w:line="468" w:lineRule="auto"/>
        <w:ind w:left="172" w:right="750"/>
      </w:pPr>
      <w:r>
        <w:br w:type="column"/>
      </w:r>
      <w:r>
        <w:t>gap-E</w:t>
      </w:r>
      <w:r>
        <w:rPr>
          <w:position w:val="-2"/>
          <w:sz w:val="16"/>
        </w:rPr>
        <w:t>m</w:t>
      </w:r>
      <w:r>
        <w:t>. Away from this plane, t</w:t>
      </w:r>
      <w:r>
        <w:t>he electric field decreases. Notice that for x&gt;0, the fields decrease is slower than for x&lt;0.</w:t>
      </w:r>
    </w:p>
    <w:p w:rsidR="00F67E59" w:rsidRDefault="00F67E59">
      <w:pPr>
        <w:pStyle w:val="BodyText"/>
        <w:rPr>
          <w:sz w:val="26"/>
        </w:rPr>
      </w:pPr>
    </w:p>
    <w:p w:rsidR="00F67E59" w:rsidRDefault="00F67E59">
      <w:pPr>
        <w:pStyle w:val="BodyText"/>
        <w:spacing w:before="10"/>
        <w:rPr>
          <w:sz w:val="20"/>
        </w:rPr>
      </w:pPr>
    </w:p>
    <w:p w:rsidR="00F67E59" w:rsidRDefault="00284F1A">
      <w:pPr>
        <w:pStyle w:val="BodyText"/>
        <w:tabs>
          <w:tab w:val="left" w:pos="8351"/>
        </w:tabs>
        <w:ind w:left="3787"/>
      </w:pPr>
      <w:r>
        <w:t>E=MC</w:t>
      </w:r>
      <w:r>
        <w:rPr>
          <w:position w:val="11"/>
          <w:sz w:val="16"/>
        </w:rPr>
        <w:t>2</w:t>
      </w:r>
      <w:r>
        <w:rPr>
          <w:position w:val="11"/>
          <w:sz w:val="16"/>
        </w:rPr>
        <w:tab/>
      </w:r>
      <w:r>
        <w:t>(1.1)</w:t>
      </w:r>
    </w:p>
    <w:p w:rsidR="00F67E59" w:rsidRDefault="00F67E59">
      <w:pPr>
        <w:pStyle w:val="BodyText"/>
        <w:rPr>
          <w:sz w:val="30"/>
        </w:rPr>
      </w:pPr>
    </w:p>
    <w:p w:rsidR="00F67E59" w:rsidRDefault="00F67E59">
      <w:pPr>
        <w:pStyle w:val="BodyText"/>
        <w:spacing w:before="11"/>
        <w:rPr>
          <w:sz w:val="41"/>
        </w:rPr>
      </w:pPr>
    </w:p>
    <w:p w:rsidR="00F67E59" w:rsidRDefault="00284F1A">
      <w:pPr>
        <w:pStyle w:val="BodyText"/>
        <w:spacing w:line="480" w:lineRule="auto"/>
        <w:ind w:left="172" w:right="1438" w:firstLine="720"/>
        <w:jc w:val="both"/>
      </w:pPr>
      <w:r>
        <w:t>The electron energy distribution is far from equilibrium. It is enriched with high – energy electrons, a consequence of the large electric fiel</w:t>
      </w:r>
      <w:r>
        <w:t>d. Furthermore, the distribution is anisotropic in the high energy.</w:t>
      </w:r>
    </w:p>
    <w:p w:rsidR="00F67E59" w:rsidRDefault="00F67E59">
      <w:pPr>
        <w:spacing w:line="480" w:lineRule="auto"/>
        <w:jc w:val="both"/>
        <w:sectPr w:rsidR="00F67E59">
          <w:type w:val="continuous"/>
          <w:pgSz w:w="12240" w:h="15840"/>
          <w:pgMar w:top="540" w:right="0" w:bottom="620" w:left="0" w:header="720" w:footer="720" w:gutter="0"/>
          <w:cols w:num="2" w:space="720" w:equalWidth="0">
            <w:col w:w="1666" w:space="322"/>
            <w:col w:w="10252"/>
          </w:cols>
        </w:sect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spacing w:before="1"/>
        <w:rPr>
          <w:sz w:val="20"/>
        </w:rPr>
      </w:pPr>
    </w:p>
    <w:p w:rsidR="00F67E59" w:rsidRDefault="00284F1A">
      <w:pPr>
        <w:spacing w:line="254" w:lineRule="auto"/>
        <w:ind w:left="292" w:right="8628"/>
        <w:rPr>
          <w:rFonts w:ascii="Eras Light ITC"/>
          <w:i/>
          <w:sz w:val="20"/>
        </w:rPr>
      </w:pPr>
      <w:r>
        <w:rPr>
          <w:noProof/>
        </w:rPr>
        <w:drawing>
          <wp:anchor distT="0" distB="0" distL="0" distR="0" simplePos="0" relativeHeight="1408" behindDoc="0" locked="0" layoutInCell="1" allowOverlap="1">
            <wp:simplePos x="0" y="0"/>
            <wp:positionH relativeFrom="page">
              <wp:posOffset>1895855</wp:posOffset>
            </wp:positionH>
            <wp:positionV relativeFrom="paragraph">
              <wp:posOffset>-1461058</wp:posOffset>
            </wp:positionV>
            <wp:extent cx="4437888" cy="350520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4437888" cy="3505200"/>
                    </a:xfrm>
                    <a:prstGeom prst="rect">
                      <a:avLst/>
                    </a:prstGeom>
                  </pic:spPr>
                </pic:pic>
              </a:graphicData>
            </a:graphic>
          </wp:anchor>
        </w:drawing>
      </w:r>
    </w:p>
    <w:p w:rsidR="00135098" w:rsidRDefault="00135098">
      <w:pPr>
        <w:spacing w:line="254" w:lineRule="auto"/>
        <w:ind w:left="292" w:right="8628"/>
        <w:rPr>
          <w:rFonts w:ascii="Eras Light ITC"/>
          <w:i/>
          <w:sz w:val="20"/>
        </w:rPr>
      </w:pPr>
    </w:p>
    <w:p w:rsidR="00135098" w:rsidRDefault="00135098">
      <w:pPr>
        <w:spacing w:line="254" w:lineRule="auto"/>
        <w:ind w:left="292" w:right="8628"/>
        <w:rPr>
          <w:rFonts w:ascii="Eras Light ITC"/>
          <w:i/>
          <w:sz w:val="20"/>
        </w:rPr>
      </w:pPr>
    </w:p>
    <w:p w:rsidR="00135098" w:rsidRDefault="00135098">
      <w:pPr>
        <w:spacing w:line="254" w:lineRule="auto"/>
        <w:ind w:left="292" w:right="8628"/>
        <w:rPr>
          <w:rFonts w:ascii="Eras Light ITC"/>
          <w:i/>
          <w:sz w:val="20"/>
        </w:rPr>
      </w:pPr>
    </w:p>
    <w:p w:rsidR="00135098" w:rsidRDefault="00135098">
      <w:pPr>
        <w:spacing w:line="254" w:lineRule="auto"/>
        <w:ind w:left="292" w:right="8628"/>
        <w:rPr>
          <w:rFonts w:ascii="Eras Light ITC"/>
          <w:i/>
          <w:sz w:val="20"/>
        </w:rPr>
      </w:pPr>
    </w:p>
    <w:p w:rsidR="00135098" w:rsidRDefault="00135098">
      <w:pPr>
        <w:spacing w:line="254" w:lineRule="auto"/>
        <w:ind w:left="292" w:right="8628"/>
        <w:rPr>
          <w:rFonts w:ascii="Eras Light ITC"/>
          <w:i/>
          <w:sz w:val="20"/>
        </w:rPr>
      </w:pPr>
    </w:p>
    <w:p w:rsidR="00135098" w:rsidRDefault="00135098">
      <w:pPr>
        <w:spacing w:line="254" w:lineRule="auto"/>
        <w:ind w:left="292" w:right="8628"/>
        <w:rPr>
          <w:rFonts w:ascii="Eras Light ITC"/>
          <w:i/>
          <w:sz w:val="20"/>
        </w:rPr>
      </w:pPr>
    </w:p>
    <w:p w:rsidR="00135098" w:rsidRDefault="00135098">
      <w:pPr>
        <w:spacing w:line="254" w:lineRule="auto"/>
        <w:ind w:left="292" w:right="8628"/>
        <w:rPr>
          <w:rFonts w:ascii="Eras Light ITC"/>
          <w:i/>
          <w:sz w:val="20"/>
        </w:rPr>
      </w:pPr>
    </w:p>
    <w:p w:rsidR="00135098" w:rsidRDefault="00135098">
      <w:pPr>
        <w:spacing w:line="254" w:lineRule="auto"/>
        <w:ind w:left="292" w:right="8628"/>
        <w:rPr>
          <w:rFonts w:ascii="Eras Light ITC"/>
          <w:i/>
          <w:sz w:val="20"/>
        </w:rPr>
      </w:pPr>
    </w:p>
    <w:p w:rsidR="00135098" w:rsidRDefault="00135098">
      <w:pPr>
        <w:spacing w:line="254" w:lineRule="auto"/>
        <w:ind w:left="292" w:right="8628"/>
        <w:rPr>
          <w:rFonts w:ascii="Eras Light ITC"/>
          <w:i/>
          <w:sz w:val="20"/>
        </w:rPr>
      </w:pPr>
    </w:p>
    <w:p w:rsidR="00F67E59" w:rsidRDefault="00F67E59">
      <w:pPr>
        <w:pStyle w:val="BodyText"/>
        <w:rPr>
          <w:rFonts w:ascii="Eras Light ITC"/>
          <w:i/>
          <w:sz w:val="22"/>
        </w:rPr>
      </w:pPr>
    </w:p>
    <w:p w:rsidR="00F67E59" w:rsidRDefault="00F67E59">
      <w:pPr>
        <w:pStyle w:val="BodyText"/>
        <w:rPr>
          <w:rFonts w:ascii="Eras Light ITC"/>
          <w:i/>
          <w:sz w:val="22"/>
        </w:rPr>
      </w:pPr>
    </w:p>
    <w:p w:rsidR="00F67E59" w:rsidRDefault="00F67E59">
      <w:pPr>
        <w:pStyle w:val="BodyText"/>
        <w:rPr>
          <w:rFonts w:ascii="Eras Light ITC"/>
          <w:i/>
          <w:sz w:val="22"/>
        </w:rPr>
      </w:pPr>
    </w:p>
    <w:p w:rsidR="00F67E59" w:rsidRDefault="00284F1A">
      <w:pPr>
        <w:pStyle w:val="BodyText"/>
        <w:spacing w:before="186"/>
        <w:ind w:left="2160" w:right="115"/>
        <w:jc w:val="both"/>
      </w:pPr>
      <w:r>
        <w:rPr>
          <w:b/>
        </w:rPr>
        <w:t xml:space="preserve">Figure 5.1 </w:t>
      </w:r>
      <w:r>
        <w:t>Specification of a simple slider, running in the VRED editor, to illustrate our graphical notation. The upper half of the screen shows the continuous portion of the specification, using ovals to represent variables, rectangles for links, and arrows for dat</w:t>
      </w:r>
      <w:r>
        <w:t>a flows. The lower portion shows the event handler in the form of a state diagram, with states represented as circles and transitions as arrows.</w:t>
      </w:r>
    </w:p>
    <w:p w:rsidR="00F67E59" w:rsidRDefault="00284F1A">
      <w:pPr>
        <w:spacing w:before="162"/>
        <w:ind w:left="2160" w:right="822"/>
        <w:rPr>
          <w:sz w:val="20"/>
        </w:rPr>
      </w:pPr>
      <w:r>
        <w:rPr>
          <w:sz w:val="20"/>
        </w:rPr>
        <w:t>Source: Robert J. K. Jacob, Leonidas Deligiannidis, and Stephen Morrison “A Software Model and Specification La</w:t>
      </w:r>
      <w:r>
        <w:rPr>
          <w:sz w:val="20"/>
        </w:rPr>
        <w:t>nguage for Non-WIMP User Interfaces” Tufts University, ACM Transactions on Computer-Human Interaction, Vol. 6, No. 1, March 1999, pp. 1–46.</w:t>
      </w:r>
    </w:p>
    <w:p w:rsidR="00F67E59" w:rsidRDefault="00284F1A">
      <w:pPr>
        <w:ind w:left="2160"/>
        <w:rPr>
          <w:sz w:val="20"/>
        </w:rPr>
      </w:pPr>
      <w:hyperlink r:id="rId11">
        <w:r>
          <w:rPr>
            <w:sz w:val="20"/>
          </w:rPr>
          <w:t>http://www.postech.ac.kr/~gkim/cse511/p1-jac</w:t>
        </w:r>
        <w:r>
          <w:rPr>
            <w:sz w:val="20"/>
          </w:rPr>
          <w:t>ob.pdf,</w:t>
        </w:r>
      </w:hyperlink>
      <w:r>
        <w:rPr>
          <w:sz w:val="20"/>
        </w:rPr>
        <w:t xml:space="preserve"> accessed February 9, 2009.</w:t>
      </w:r>
    </w:p>
    <w:p w:rsidR="00F67E59" w:rsidRDefault="00F67E59">
      <w:pPr>
        <w:pStyle w:val="BodyText"/>
        <w:rPr>
          <w:sz w:val="22"/>
        </w:rPr>
      </w:pPr>
    </w:p>
    <w:p w:rsidR="00F67E59" w:rsidRDefault="00F67E59">
      <w:pPr>
        <w:pStyle w:val="BodyText"/>
        <w:spacing w:before="10"/>
        <w:rPr>
          <w:sz w:val="25"/>
        </w:rPr>
      </w:pPr>
    </w:p>
    <w:p w:rsidR="00F67E59" w:rsidRDefault="00284F1A">
      <w:pPr>
        <w:pStyle w:val="BodyText"/>
        <w:spacing w:line="480" w:lineRule="auto"/>
        <w:ind w:left="2160" w:right="116" w:firstLine="720"/>
        <w:jc w:val="both"/>
      </w:pPr>
      <w:r>
        <w:t>Figure 5.1 shows the specification of this simple slider in our visual notation, running on our graphical editor, VRED. The upper portion of the screen shows the continuous portion of the specification using ovals to re</w:t>
      </w:r>
      <w:r>
        <w:t>present variables, rectangles for links, and arrows for data flows.  The name of each link is shown under its rectangle.</w:t>
      </w:r>
    </w:p>
    <w:p w:rsidR="00F67E59" w:rsidRDefault="00284F1A">
      <w:pPr>
        <w:pStyle w:val="BodyText"/>
        <w:spacing w:before="10" w:line="480" w:lineRule="auto"/>
        <w:ind w:left="2160" w:right="117" w:firstLine="720"/>
        <w:jc w:val="both"/>
      </w:pPr>
      <w:r>
        <w:t>On the next page is Figure 5.2 which requires landscape format. It shows the conceptual model for offshore software development in whic</w:t>
      </w:r>
      <w:r>
        <w:t>h the three project performance measures—effort, elapsed time, and rework—appear as three ovals. It is postulated that as rework increases, both elapsed time and project effort increase.</w:t>
      </w:r>
    </w:p>
    <w:p w:rsidR="00F67E59" w:rsidRDefault="00F67E59">
      <w:pPr>
        <w:spacing w:line="480" w:lineRule="auto"/>
        <w:jc w:val="both"/>
        <w:sectPr w:rsidR="00F67E59">
          <w:pgSz w:w="12240" w:h="15840"/>
          <w:pgMar w:top="1440" w:right="1320" w:bottom="700" w:left="0" w:header="0" w:footer="511" w:gutter="0"/>
          <w:cols w:space="720"/>
        </w:sect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rPr>
          <w:sz w:val="20"/>
        </w:rPr>
      </w:pPr>
    </w:p>
    <w:p w:rsidR="00F67E59" w:rsidRDefault="00F67E59">
      <w:pPr>
        <w:pStyle w:val="BodyText"/>
        <w:spacing w:before="7"/>
        <w:rPr>
          <w:sz w:val="22"/>
        </w:rPr>
      </w:pPr>
    </w:p>
    <w:p w:rsidR="00F67E59" w:rsidRDefault="00284F1A">
      <w:pPr>
        <w:pStyle w:val="BodyText"/>
        <w:spacing w:before="130"/>
        <w:ind w:left="1779"/>
      </w:pPr>
      <w:r>
        <w:pict>
          <v:group id="_x0000_s1031" style="position:absolute;left:0;text-align:left;margin-left:108pt;margin-top:-331.5pt;width:588.25pt;height:338.4pt;z-index:-9304;mso-position-horizontal-relative:page" coordorigin="2160,-6630" coordsize="11765,6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160;top:-6630;width:11765;height:6768">
              <v:imagedata r:id="rId12" o:title=""/>
            </v:shape>
            <v:shapetype id="_x0000_t202" coordsize="21600,21600" o:spt="202" path="m,l,21600r21600,l21600,xe">
              <v:stroke joinstyle="miter"/>
              <v:path gradientshapeok="t" o:connecttype="rect"/>
            </v:shapetype>
            <v:shape id="_x0000_s1033" type="#_x0000_t202" style="position:absolute;left:2902;top:-5245;width:2400;height:360" stroked="f">
              <v:textbox inset="0,0,0,0">
                <w:txbxContent>
                  <w:p w:rsidR="00F67E59" w:rsidRDefault="00284F1A">
                    <w:pPr>
                      <w:spacing w:line="237" w:lineRule="auto"/>
                      <w:ind w:left="887" w:right="54" w:hanging="819"/>
                      <w:rPr>
                        <w:i/>
                        <w:sz w:val="16"/>
                      </w:rPr>
                    </w:pPr>
                    <w:r>
                      <w:rPr>
                        <w:i/>
                        <w:sz w:val="16"/>
                      </w:rPr>
                      <w:t>Communication and Co-ordination Variables</w:t>
                    </w:r>
                  </w:p>
                </w:txbxContent>
              </v:textbox>
            </v:shape>
            <v:shape id="_x0000_s1032" type="#_x0000_t202" style="position:absolute;left:3502;top:-4525;width:1080;height:480" stroked="f">
              <v:textbox inset="0,0,0,0">
                <w:txbxContent>
                  <w:p w:rsidR="00F67E59" w:rsidRDefault="00284F1A">
                    <w:pPr>
                      <w:spacing w:before="69"/>
                      <w:ind w:left="254" w:right="150" w:hanging="87"/>
                      <w:rPr>
                        <w:b/>
                        <w:sz w:val="16"/>
                      </w:rPr>
                    </w:pPr>
                    <w:r>
                      <w:rPr>
                        <w:b/>
                        <w:sz w:val="16"/>
                      </w:rPr>
                      <w:t>Number of Liaisons</w:t>
                    </w:r>
                  </w:p>
                </w:txbxContent>
              </v:textbox>
            </v:shape>
            <w10:wrap anchorx="page"/>
          </v:group>
        </w:pict>
      </w:r>
      <w:bookmarkStart w:id="0" w:name="_GoBack"/>
      <w:bookmarkEnd w:id="0"/>
      <w:r>
        <w:pict>
          <v:shape id="_x0000_s1026" type="#_x0000_t202" style="position:absolute;left:0;text-align:left;margin-left:33.35pt;margin-top:-89.9pt;width:15.3pt;height:14.05pt;z-index:1624;mso-position-horizontal-relative:page" filled="f" stroked="f">
            <v:textbox style="layout-flow:vertical" inset="0,0,0,0">
              <w:txbxContent>
                <w:p w:rsidR="00F67E59" w:rsidRDefault="00284F1A">
                  <w:pPr>
                    <w:spacing w:before="10"/>
                    <w:ind w:left="20"/>
                    <w:rPr>
                      <w:b/>
                      <w:sz w:val="24"/>
                    </w:rPr>
                  </w:pPr>
                  <w:r>
                    <w:rPr>
                      <w:b/>
                      <w:spacing w:val="-1"/>
                      <w:sz w:val="24"/>
                    </w:rPr>
                    <w:t>4</w:t>
                  </w:r>
                  <w:r>
                    <w:rPr>
                      <w:b/>
                      <w:sz w:val="24"/>
                    </w:rPr>
                    <w:t>3</w:t>
                  </w:r>
                </w:p>
              </w:txbxContent>
            </v:textbox>
            <w10:wrap anchorx="page"/>
          </v:shape>
        </w:pict>
      </w:r>
      <w:r>
        <w:rPr>
          <w:b/>
        </w:rPr>
        <w:t xml:space="preserve">Figure 5.2 </w:t>
      </w:r>
      <w:r>
        <w:t>Conceptual model for offshore software development in which the three project performance measures—effort, elapsed time, and rework—appear as three ovals.</w:t>
      </w:r>
    </w:p>
    <w:p w:rsidR="00F67E59" w:rsidRDefault="00284F1A">
      <w:pPr>
        <w:spacing w:before="161"/>
        <w:ind w:left="1780" w:right="196" w:hanging="1"/>
        <w:rPr>
          <w:sz w:val="20"/>
        </w:rPr>
      </w:pPr>
      <w:r>
        <w:rPr>
          <w:sz w:val="20"/>
        </w:rPr>
        <w:t>Source: Anandasivam Gopal, Tridas Mukhopadhyay, and Mayuram S. Krishnan “The Role of Software Process</w:t>
      </w:r>
      <w:r>
        <w:rPr>
          <w:sz w:val="20"/>
        </w:rPr>
        <w:t xml:space="preserve">es and Communication in Offshore Software Development” COMMUNICATIONS OF THE ACM April 2002/Vol. 45, No. 4ve, pp. 193-200. </w:t>
      </w:r>
      <w:hyperlink r:id="rId13">
        <w:r>
          <w:rPr>
            <w:sz w:val="20"/>
          </w:rPr>
          <w:t>http://www.rhsmith.umd.edu/faculty/agopal/Of</w:t>
        </w:r>
        <w:r>
          <w:rPr>
            <w:sz w:val="20"/>
          </w:rPr>
          <w:t>fshore%20CACM%20Final.pdf</w:t>
        </w:r>
      </w:hyperlink>
      <w:r>
        <w:rPr>
          <w:sz w:val="20"/>
        </w:rPr>
        <w:t xml:space="preserve"> accessed February 9, 2009.</w:t>
      </w:r>
    </w:p>
    <w:sectPr w:rsidR="00F67E59">
      <w:footerReference w:type="default" r:id="rId14"/>
      <w:pgSz w:w="15840" w:h="12240" w:orient="landscape"/>
      <w:pgMar w:top="1140" w:right="1700" w:bottom="280" w:left="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F1A" w:rsidRDefault="00284F1A">
      <w:r>
        <w:separator/>
      </w:r>
    </w:p>
  </w:endnote>
  <w:endnote w:type="continuationSeparator" w:id="0">
    <w:p w:rsidR="00284F1A" w:rsidRDefault="0028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as Light ITC">
    <w:altName w:val="Eras Light ITC"/>
    <w:panose1 w:val="020B04020305040208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E59" w:rsidRDefault="00284F1A">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19pt;margin-top:753.4pt;width:12.15pt;height:17.4pt;z-index:-9832;mso-position-horizontal-relative:page;mso-position-vertical-relative:page" filled="f" stroked="f">
          <v:textbox inset="0,0,0,0">
            <w:txbxContent>
              <w:p w:rsidR="00F67E59" w:rsidRDefault="00284F1A">
                <w:pPr>
                  <w:spacing w:before="51"/>
                  <w:ind w:left="40"/>
                  <w:rPr>
                    <w:b/>
                    <w:sz w:val="24"/>
                  </w:rPr>
                </w:pPr>
                <w:r>
                  <w:fldChar w:fldCharType="begin"/>
                </w:r>
                <w:r>
                  <w:rPr>
                    <w:b/>
                    <w:w w:val="99"/>
                    <w:sz w:val="24"/>
                  </w:rPr>
                  <w:instrText xml:space="preserve"> PAGE </w:instrText>
                </w:r>
                <w:r>
                  <w:fldChar w:fldCharType="separate"/>
                </w:r>
                <w:r w:rsidR="00135098">
                  <w:rPr>
                    <w:b/>
                    <w:noProof/>
                    <w:w w:val="99"/>
                    <w:sz w:val="24"/>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E59" w:rsidRDefault="00284F1A">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17pt;margin-top:759.55pt;width:14pt;height:15.3pt;z-index:-9808;mso-position-horizontal-relative:page;mso-position-vertical-relative:page" filled="f" stroked="f">
          <v:textbox inset="0,0,0,0">
            <w:txbxContent>
              <w:p w:rsidR="00F67E59" w:rsidRDefault="00284F1A">
                <w:pPr>
                  <w:spacing w:before="10"/>
                  <w:ind w:left="20"/>
                  <w:rPr>
                    <w:b/>
                    <w:sz w:val="24"/>
                  </w:rPr>
                </w:pPr>
                <w:r>
                  <w:rPr>
                    <w:b/>
                    <w:sz w:val="24"/>
                  </w:rPr>
                  <w:t>23</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E59" w:rsidRDefault="00284F1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5pt;margin-top:752.55pt;width:19.4pt;height:18.2pt;z-index:-9784;mso-position-horizontal-relative:page;mso-position-vertical-relative:page" filled="f" stroked="f">
          <v:textbox inset="0,0,0,0">
            <w:txbxContent>
              <w:p w:rsidR="00F67E59" w:rsidRDefault="00284F1A">
                <w:pPr>
                  <w:spacing w:before="67"/>
                  <w:ind w:left="40"/>
                  <w:rPr>
                    <w:b/>
                    <w:sz w:val="24"/>
                  </w:rPr>
                </w:pPr>
                <w:r>
                  <w:fldChar w:fldCharType="begin"/>
                </w:r>
                <w:r>
                  <w:rPr>
                    <w:b/>
                    <w:sz w:val="24"/>
                  </w:rPr>
                  <w:instrText xml:space="preserve"> PAGE </w:instrText>
                </w:r>
                <w:r>
                  <w:fldChar w:fldCharType="separate"/>
                </w:r>
                <w:r w:rsidR="00135098">
                  <w:rPr>
                    <w:b/>
                    <w:noProof/>
                    <w:sz w:val="24"/>
                  </w:rPr>
                  <w:t>42</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E59" w:rsidRDefault="00F67E59">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F1A" w:rsidRDefault="00284F1A">
      <w:r>
        <w:separator/>
      </w:r>
    </w:p>
  </w:footnote>
  <w:footnote w:type="continuationSeparator" w:id="0">
    <w:p w:rsidR="00284F1A" w:rsidRDefault="00284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86BF8"/>
    <w:multiLevelType w:val="hybridMultilevel"/>
    <w:tmpl w:val="A8C06464"/>
    <w:lvl w:ilvl="0" w:tplc="CF743280">
      <w:start w:val="1"/>
      <w:numFmt w:val="decimal"/>
      <w:lvlText w:val="%1)"/>
      <w:lvlJc w:val="left"/>
      <w:pPr>
        <w:ind w:left="158" w:hanging="216"/>
        <w:jc w:val="left"/>
      </w:pPr>
      <w:rPr>
        <w:rFonts w:ascii="Eras Light ITC" w:eastAsia="Eras Light ITC" w:hAnsi="Eras Light ITC" w:cs="Eras Light ITC" w:hint="default"/>
        <w:i/>
        <w:spacing w:val="0"/>
        <w:w w:val="99"/>
        <w:sz w:val="20"/>
        <w:szCs w:val="20"/>
      </w:rPr>
    </w:lvl>
    <w:lvl w:ilvl="1" w:tplc="B7C6CCC4">
      <w:numFmt w:val="bullet"/>
      <w:lvlText w:val="•"/>
      <w:lvlJc w:val="left"/>
      <w:pPr>
        <w:ind w:left="348" w:hanging="216"/>
      </w:pPr>
      <w:rPr>
        <w:rFonts w:hint="default"/>
      </w:rPr>
    </w:lvl>
    <w:lvl w:ilvl="2" w:tplc="FC669086">
      <w:numFmt w:val="bullet"/>
      <w:lvlText w:val="•"/>
      <w:lvlJc w:val="left"/>
      <w:pPr>
        <w:ind w:left="536" w:hanging="216"/>
      </w:pPr>
      <w:rPr>
        <w:rFonts w:hint="default"/>
      </w:rPr>
    </w:lvl>
    <w:lvl w:ilvl="3" w:tplc="E53E0F60">
      <w:numFmt w:val="bullet"/>
      <w:lvlText w:val="•"/>
      <w:lvlJc w:val="left"/>
      <w:pPr>
        <w:ind w:left="724" w:hanging="216"/>
      </w:pPr>
      <w:rPr>
        <w:rFonts w:hint="default"/>
      </w:rPr>
    </w:lvl>
    <w:lvl w:ilvl="4" w:tplc="226AC256">
      <w:numFmt w:val="bullet"/>
      <w:lvlText w:val="•"/>
      <w:lvlJc w:val="left"/>
      <w:pPr>
        <w:ind w:left="913" w:hanging="216"/>
      </w:pPr>
      <w:rPr>
        <w:rFonts w:hint="default"/>
      </w:rPr>
    </w:lvl>
    <w:lvl w:ilvl="5" w:tplc="CDB4002A">
      <w:numFmt w:val="bullet"/>
      <w:lvlText w:val="•"/>
      <w:lvlJc w:val="left"/>
      <w:pPr>
        <w:ind w:left="1101" w:hanging="216"/>
      </w:pPr>
      <w:rPr>
        <w:rFonts w:hint="default"/>
      </w:rPr>
    </w:lvl>
    <w:lvl w:ilvl="6" w:tplc="912022DA">
      <w:numFmt w:val="bullet"/>
      <w:lvlText w:val="•"/>
      <w:lvlJc w:val="left"/>
      <w:pPr>
        <w:ind w:left="1289" w:hanging="216"/>
      </w:pPr>
      <w:rPr>
        <w:rFonts w:hint="default"/>
      </w:rPr>
    </w:lvl>
    <w:lvl w:ilvl="7" w:tplc="5D3409F8">
      <w:numFmt w:val="bullet"/>
      <w:lvlText w:val="•"/>
      <w:lvlJc w:val="left"/>
      <w:pPr>
        <w:ind w:left="1478" w:hanging="216"/>
      </w:pPr>
      <w:rPr>
        <w:rFonts w:hint="default"/>
      </w:rPr>
    </w:lvl>
    <w:lvl w:ilvl="8" w:tplc="E6B41100">
      <w:numFmt w:val="bullet"/>
      <w:lvlText w:val="•"/>
      <w:lvlJc w:val="left"/>
      <w:pPr>
        <w:ind w:left="1666" w:hanging="216"/>
      </w:pPr>
      <w:rPr>
        <w:rFonts w:hint="default"/>
      </w:rPr>
    </w:lvl>
  </w:abstractNum>
  <w:abstractNum w:abstractNumId="1" w15:restartNumberingAfterBreak="0">
    <w:nsid w:val="3ABC78D2"/>
    <w:multiLevelType w:val="multilevel"/>
    <w:tmpl w:val="69AA2C2A"/>
    <w:lvl w:ilvl="0">
      <w:start w:val="1"/>
      <w:numFmt w:val="decimal"/>
      <w:lvlText w:val="%1"/>
      <w:lvlJc w:val="left"/>
      <w:pPr>
        <w:ind w:left="4178" w:hanging="360"/>
        <w:jc w:val="left"/>
      </w:pPr>
      <w:rPr>
        <w:rFonts w:hint="default"/>
      </w:rPr>
    </w:lvl>
    <w:lvl w:ilvl="1">
      <w:start w:val="1"/>
      <w:numFmt w:val="decimal"/>
      <w:lvlText w:val="%1.%2"/>
      <w:lvlJc w:val="left"/>
      <w:pPr>
        <w:ind w:left="4178" w:hanging="360"/>
        <w:jc w:val="right"/>
      </w:pPr>
      <w:rPr>
        <w:rFonts w:ascii="Times New Roman" w:eastAsia="Times New Roman" w:hAnsi="Times New Roman" w:cs="Times New Roman" w:hint="default"/>
        <w:b/>
        <w:bCs/>
        <w:w w:val="99"/>
        <w:sz w:val="24"/>
        <w:szCs w:val="24"/>
      </w:rPr>
    </w:lvl>
    <w:lvl w:ilvl="2">
      <w:numFmt w:val="bullet"/>
      <w:lvlText w:val="•"/>
      <w:lvlJc w:val="left"/>
      <w:pPr>
        <w:ind w:left="5154" w:hanging="360"/>
      </w:pPr>
      <w:rPr>
        <w:rFonts w:hint="default"/>
      </w:rPr>
    </w:lvl>
    <w:lvl w:ilvl="3">
      <w:numFmt w:val="bullet"/>
      <w:lvlText w:val="•"/>
      <w:lvlJc w:val="left"/>
      <w:pPr>
        <w:ind w:left="5641" w:hanging="360"/>
      </w:pPr>
      <w:rPr>
        <w:rFonts w:hint="default"/>
      </w:rPr>
    </w:lvl>
    <w:lvl w:ilvl="4">
      <w:numFmt w:val="bullet"/>
      <w:lvlText w:val="•"/>
      <w:lvlJc w:val="left"/>
      <w:pPr>
        <w:ind w:left="6129" w:hanging="360"/>
      </w:pPr>
      <w:rPr>
        <w:rFonts w:hint="default"/>
      </w:rPr>
    </w:lvl>
    <w:lvl w:ilvl="5">
      <w:numFmt w:val="bullet"/>
      <w:lvlText w:val="•"/>
      <w:lvlJc w:val="left"/>
      <w:pPr>
        <w:ind w:left="6616" w:hanging="360"/>
      </w:pPr>
      <w:rPr>
        <w:rFonts w:hint="default"/>
      </w:rPr>
    </w:lvl>
    <w:lvl w:ilvl="6">
      <w:numFmt w:val="bullet"/>
      <w:lvlText w:val="•"/>
      <w:lvlJc w:val="left"/>
      <w:pPr>
        <w:ind w:left="7103" w:hanging="360"/>
      </w:pPr>
      <w:rPr>
        <w:rFonts w:hint="default"/>
      </w:rPr>
    </w:lvl>
    <w:lvl w:ilvl="7">
      <w:numFmt w:val="bullet"/>
      <w:lvlText w:val="•"/>
      <w:lvlJc w:val="left"/>
      <w:pPr>
        <w:ind w:left="7591" w:hanging="360"/>
      </w:pPr>
      <w:rPr>
        <w:rFonts w:hint="default"/>
      </w:rPr>
    </w:lvl>
    <w:lvl w:ilvl="8">
      <w:numFmt w:val="bullet"/>
      <w:lvlText w:val="•"/>
      <w:lvlJc w:val="left"/>
      <w:pPr>
        <w:ind w:left="8078" w:hanging="360"/>
      </w:pPr>
      <w:rPr>
        <w:rFonts w:hint="default"/>
      </w:rPr>
    </w:lvl>
  </w:abstractNum>
  <w:abstractNum w:abstractNumId="2" w15:restartNumberingAfterBreak="0">
    <w:nsid w:val="453F5416"/>
    <w:multiLevelType w:val="hybridMultilevel"/>
    <w:tmpl w:val="08F86DE2"/>
    <w:lvl w:ilvl="0" w:tplc="022A7E7E">
      <w:start w:val="1"/>
      <w:numFmt w:val="decimal"/>
      <w:lvlText w:val="%1)"/>
      <w:lvlJc w:val="left"/>
      <w:pPr>
        <w:ind w:left="477" w:hanging="216"/>
        <w:jc w:val="left"/>
      </w:pPr>
      <w:rPr>
        <w:rFonts w:ascii="Eras Light ITC" w:eastAsia="Eras Light ITC" w:hAnsi="Eras Light ITC" w:cs="Eras Light ITC" w:hint="default"/>
        <w:i/>
        <w:spacing w:val="0"/>
        <w:w w:val="99"/>
        <w:sz w:val="20"/>
        <w:szCs w:val="20"/>
      </w:rPr>
    </w:lvl>
    <w:lvl w:ilvl="1" w:tplc="498CF63C">
      <w:numFmt w:val="bullet"/>
      <w:lvlText w:val="•"/>
      <w:lvlJc w:val="left"/>
      <w:pPr>
        <w:ind w:left="627" w:hanging="216"/>
      </w:pPr>
      <w:rPr>
        <w:rFonts w:hint="default"/>
      </w:rPr>
    </w:lvl>
    <w:lvl w:ilvl="2" w:tplc="1B8C268A">
      <w:numFmt w:val="bullet"/>
      <w:lvlText w:val="•"/>
      <w:lvlJc w:val="left"/>
      <w:pPr>
        <w:ind w:left="774" w:hanging="216"/>
      </w:pPr>
      <w:rPr>
        <w:rFonts w:hint="default"/>
      </w:rPr>
    </w:lvl>
    <w:lvl w:ilvl="3" w:tplc="F04083D2">
      <w:numFmt w:val="bullet"/>
      <w:lvlText w:val="•"/>
      <w:lvlJc w:val="left"/>
      <w:pPr>
        <w:ind w:left="922" w:hanging="216"/>
      </w:pPr>
      <w:rPr>
        <w:rFonts w:hint="default"/>
      </w:rPr>
    </w:lvl>
    <w:lvl w:ilvl="4" w:tplc="7FDA3B46">
      <w:numFmt w:val="bullet"/>
      <w:lvlText w:val="•"/>
      <w:lvlJc w:val="left"/>
      <w:pPr>
        <w:ind w:left="1069" w:hanging="216"/>
      </w:pPr>
      <w:rPr>
        <w:rFonts w:hint="default"/>
      </w:rPr>
    </w:lvl>
    <w:lvl w:ilvl="5" w:tplc="4922E9BA">
      <w:numFmt w:val="bullet"/>
      <w:lvlText w:val="•"/>
      <w:lvlJc w:val="left"/>
      <w:pPr>
        <w:ind w:left="1217" w:hanging="216"/>
      </w:pPr>
      <w:rPr>
        <w:rFonts w:hint="default"/>
      </w:rPr>
    </w:lvl>
    <w:lvl w:ilvl="6" w:tplc="2B5CBC74">
      <w:numFmt w:val="bullet"/>
      <w:lvlText w:val="•"/>
      <w:lvlJc w:val="left"/>
      <w:pPr>
        <w:ind w:left="1364" w:hanging="216"/>
      </w:pPr>
      <w:rPr>
        <w:rFonts w:hint="default"/>
      </w:rPr>
    </w:lvl>
    <w:lvl w:ilvl="7" w:tplc="5234F91A">
      <w:numFmt w:val="bullet"/>
      <w:lvlText w:val="•"/>
      <w:lvlJc w:val="left"/>
      <w:pPr>
        <w:ind w:left="1511" w:hanging="216"/>
      </w:pPr>
      <w:rPr>
        <w:rFonts w:hint="default"/>
      </w:rPr>
    </w:lvl>
    <w:lvl w:ilvl="8" w:tplc="08B8DDD4">
      <w:numFmt w:val="bullet"/>
      <w:lvlText w:val="•"/>
      <w:lvlJc w:val="left"/>
      <w:pPr>
        <w:ind w:left="1659" w:hanging="216"/>
      </w:pPr>
      <w:rPr>
        <w:rFonts w:hint="default"/>
      </w:rPr>
    </w:lvl>
  </w:abstractNum>
  <w:abstractNum w:abstractNumId="3" w15:restartNumberingAfterBreak="0">
    <w:nsid w:val="5A651F1E"/>
    <w:multiLevelType w:val="hybridMultilevel"/>
    <w:tmpl w:val="F774E1B0"/>
    <w:lvl w:ilvl="0" w:tplc="BFB06054">
      <w:start w:val="1"/>
      <w:numFmt w:val="decimal"/>
      <w:lvlText w:val="%1."/>
      <w:lvlJc w:val="left"/>
      <w:pPr>
        <w:ind w:left="772" w:hanging="360"/>
        <w:jc w:val="left"/>
      </w:pPr>
      <w:rPr>
        <w:rFonts w:ascii="Times New Roman" w:eastAsia="Times New Roman" w:hAnsi="Times New Roman" w:cs="Times New Roman" w:hint="default"/>
        <w:w w:val="99"/>
        <w:sz w:val="24"/>
        <w:szCs w:val="24"/>
      </w:rPr>
    </w:lvl>
    <w:lvl w:ilvl="1" w:tplc="DC623D6E">
      <w:numFmt w:val="bullet"/>
      <w:lvlText w:val="•"/>
      <w:lvlJc w:val="left"/>
      <w:pPr>
        <w:ind w:left="1621" w:hanging="360"/>
      </w:pPr>
      <w:rPr>
        <w:rFonts w:hint="default"/>
      </w:rPr>
    </w:lvl>
    <w:lvl w:ilvl="2" w:tplc="F44EEDD8">
      <w:numFmt w:val="bullet"/>
      <w:lvlText w:val="•"/>
      <w:lvlJc w:val="left"/>
      <w:pPr>
        <w:ind w:left="2462" w:hanging="360"/>
      </w:pPr>
      <w:rPr>
        <w:rFonts w:hint="default"/>
      </w:rPr>
    </w:lvl>
    <w:lvl w:ilvl="3" w:tplc="088AD606">
      <w:numFmt w:val="bullet"/>
      <w:lvlText w:val="•"/>
      <w:lvlJc w:val="left"/>
      <w:pPr>
        <w:ind w:left="3303" w:hanging="360"/>
      </w:pPr>
      <w:rPr>
        <w:rFonts w:hint="default"/>
      </w:rPr>
    </w:lvl>
    <w:lvl w:ilvl="4" w:tplc="1F96373A">
      <w:numFmt w:val="bullet"/>
      <w:lvlText w:val="•"/>
      <w:lvlJc w:val="left"/>
      <w:pPr>
        <w:ind w:left="4145" w:hanging="360"/>
      </w:pPr>
      <w:rPr>
        <w:rFonts w:hint="default"/>
      </w:rPr>
    </w:lvl>
    <w:lvl w:ilvl="5" w:tplc="282CAA36">
      <w:numFmt w:val="bullet"/>
      <w:lvlText w:val="•"/>
      <w:lvlJc w:val="left"/>
      <w:pPr>
        <w:ind w:left="4986" w:hanging="360"/>
      </w:pPr>
      <w:rPr>
        <w:rFonts w:hint="default"/>
      </w:rPr>
    </w:lvl>
    <w:lvl w:ilvl="6" w:tplc="7D3620C0">
      <w:numFmt w:val="bullet"/>
      <w:lvlText w:val="•"/>
      <w:lvlJc w:val="left"/>
      <w:pPr>
        <w:ind w:left="5827" w:hanging="360"/>
      </w:pPr>
      <w:rPr>
        <w:rFonts w:hint="default"/>
      </w:rPr>
    </w:lvl>
    <w:lvl w:ilvl="7" w:tplc="D78CC3BE">
      <w:numFmt w:val="bullet"/>
      <w:lvlText w:val="•"/>
      <w:lvlJc w:val="left"/>
      <w:pPr>
        <w:ind w:left="6669" w:hanging="360"/>
      </w:pPr>
      <w:rPr>
        <w:rFonts w:hint="default"/>
      </w:rPr>
    </w:lvl>
    <w:lvl w:ilvl="8" w:tplc="098A71DC">
      <w:numFmt w:val="bullet"/>
      <w:lvlText w:val="•"/>
      <w:lvlJc w:val="left"/>
      <w:pPr>
        <w:ind w:left="7510"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67E59"/>
    <w:rsid w:val="00135098"/>
    <w:rsid w:val="00284F1A"/>
    <w:rsid w:val="00F6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616C6D3-8DED-4EC9-BAB4-0BD2AC66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72" w:hanging="360"/>
    </w:pPr>
  </w:style>
  <w:style w:type="paragraph" w:customStyle="1" w:styleId="TableParagraph">
    <w:name w:val="Table Paragraph"/>
    <w:basedOn w:val="Normal"/>
    <w:uiPriority w:val="1"/>
    <w:qFormat/>
    <w:pPr>
      <w:spacing w:before="67"/>
      <w:ind w:right="1009"/>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rhsmith.umd.edu/faculty/agopal/Offshore%20CACM%20Final.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stech.ac.kr/%7Egkim/cse511/p1-jacob.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954</Words>
  <Characters>5438</Characters>
  <Application>Microsoft Office Word</Application>
  <DocSecurity>0</DocSecurity>
  <Lines>45</Lines>
  <Paragraphs>12</Paragraphs>
  <ScaleCrop>false</ScaleCrop>
  <Company>NJIT</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Kane</dc:creator>
  <cp:lastModifiedBy>David M. Tress</cp:lastModifiedBy>
  <cp:revision>2</cp:revision>
  <dcterms:created xsi:type="dcterms:W3CDTF">2017-03-13T14:33:00Z</dcterms:created>
  <dcterms:modified xsi:type="dcterms:W3CDTF">2017-03-13T18:36:00Z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2009-11-03T00:00:00Z</vt:filetime>
  </property>
  <property fmtid="{D5CDD505-2E9C-101B-9397-08002B2CF9AE}" pid="3" name="Creator">
    <vt:lpwstr>PScript5.dll Version 5.2.2</vt:lpwstr>
  </property>
  <property fmtid="{D5CDD505-2E9C-101B-9397-08002B2CF9AE}" pid="4" name="LastSaved">
    <vt:filetime>2017-03-13T00:00:00Z</vt:filetime>
  </property>
</Properties>
</file>